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49304" w14:textId="69858859" w:rsidR="00F43FA2" w:rsidRPr="001727A0" w:rsidRDefault="00574E00" w:rsidP="0065395F">
      <w:pPr>
        <w:pStyle w:val="00TitleC"/>
        <w:spacing w:after="0"/>
        <w:rPr>
          <w:sz w:val="24"/>
        </w:rPr>
      </w:pPr>
      <w:r>
        <w:rPr>
          <w:sz w:val="28"/>
          <w:szCs w:val="28"/>
        </w:rPr>
        <w:t>CLEAN-FIRM</w:t>
      </w:r>
      <w:r w:rsidR="006A55F3" w:rsidRPr="001727A0">
        <w:rPr>
          <w:sz w:val="28"/>
          <w:szCs w:val="28"/>
        </w:rPr>
        <w:t xml:space="preserve"> GENERATION</w:t>
      </w:r>
      <w:r w:rsidR="00D12612" w:rsidRPr="001727A0">
        <w:rPr>
          <w:sz w:val="28"/>
          <w:szCs w:val="28"/>
        </w:rPr>
        <w:t xml:space="preserve"> </w:t>
      </w:r>
      <w:r w:rsidR="00471B8B" w:rsidRPr="001727A0">
        <w:rPr>
          <w:sz w:val="28"/>
          <w:szCs w:val="28"/>
        </w:rPr>
        <w:t>TERM SHEET</w:t>
      </w:r>
    </w:p>
    <w:p w14:paraId="7DCE3F0C" w14:textId="77777777" w:rsidR="00762520" w:rsidRPr="001727A0" w:rsidRDefault="00762520" w:rsidP="0065395F">
      <w:pPr>
        <w:pStyle w:val="00TitleC"/>
        <w:spacing w:after="0"/>
        <w:rPr>
          <w:sz w:val="24"/>
        </w:rPr>
      </w:pPr>
    </w:p>
    <w:p w14:paraId="694EEFB4" w14:textId="31B98EE0" w:rsidR="000830E2" w:rsidRPr="001727A0" w:rsidRDefault="00ED3940" w:rsidP="0065395F">
      <w:pPr>
        <w:pStyle w:val="00PlainText"/>
        <w:spacing w:after="240"/>
        <w:ind w:left="90" w:right="90"/>
        <w:rPr>
          <w:sz w:val="24"/>
        </w:rPr>
      </w:pPr>
      <w:r w:rsidRPr="001727A0">
        <w:rPr>
          <w:rFonts w:eastAsia="Times New Roman"/>
          <w:color w:val="000000" w:themeColor="text1"/>
          <w:sz w:val="24"/>
        </w:rPr>
        <w:t xml:space="preserve">THIS </w:t>
      </w:r>
      <w:r w:rsidR="00574E00">
        <w:rPr>
          <w:rFonts w:eastAsia="Times New Roman"/>
          <w:color w:val="000000" w:themeColor="text1"/>
          <w:sz w:val="24"/>
        </w:rPr>
        <w:t>CLEAN-FIRM</w:t>
      </w:r>
      <w:r w:rsidRPr="001727A0">
        <w:rPr>
          <w:rFonts w:eastAsia="Times New Roman"/>
          <w:color w:val="000000" w:themeColor="text1"/>
          <w:sz w:val="24"/>
        </w:rPr>
        <w:t xml:space="preserve"> GENERATION</w:t>
      </w:r>
      <w:r w:rsidR="00471B8B" w:rsidRPr="001727A0">
        <w:rPr>
          <w:rFonts w:eastAsia="Times New Roman"/>
          <w:color w:val="000000" w:themeColor="text1"/>
          <w:sz w:val="24"/>
        </w:rPr>
        <w:t xml:space="preserve"> TERM SHEET </w:t>
      </w:r>
      <w:r w:rsidRPr="001727A0">
        <w:rPr>
          <w:rFonts w:eastAsia="Times New Roman"/>
          <w:color w:val="000000" w:themeColor="text1"/>
          <w:sz w:val="24"/>
        </w:rPr>
        <w:t>(</w:t>
      </w:r>
      <w:r w:rsidR="002E431F">
        <w:rPr>
          <w:rFonts w:eastAsia="Times New Roman"/>
          <w:color w:val="000000" w:themeColor="text1"/>
          <w:sz w:val="24"/>
        </w:rPr>
        <w:t xml:space="preserve">the </w:t>
      </w:r>
      <w:r w:rsidRPr="001727A0">
        <w:rPr>
          <w:rFonts w:eastAsia="Times New Roman"/>
          <w:color w:val="000000" w:themeColor="text1"/>
          <w:sz w:val="24"/>
        </w:rPr>
        <w:t>“</w:t>
      </w:r>
      <w:r w:rsidRPr="001727A0">
        <w:rPr>
          <w:rFonts w:eastAsia="Times New Roman"/>
          <w:b/>
          <w:color w:val="000000" w:themeColor="text1"/>
          <w:sz w:val="24"/>
          <w:u w:val="single"/>
        </w:rPr>
        <w:t>Term Sheet</w:t>
      </w:r>
      <w:r w:rsidRPr="001727A0">
        <w:rPr>
          <w:rFonts w:eastAsia="Times New Roman"/>
          <w:color w:val="000000" w:themeColor="text1"/>
          <w:sz w:val="24"/>
        </w:rPr>
        <w:t>”) is entered into as of [_____]</w:t>
      </w:r>
      <w:r w:rsidR="002E431F">
        <w:rPr>
          <w:rFonts w:eastAsia="Times New Roman"/>
          <w:color w:val="000000" w:themeColor="text1"/>
          <w:sz w:val="24"/>
        </w:rPr>
        <w:t xml:space="preserve"> </w:t>
      </w:r>
      <w:r w:rsidRPr="001727A0">
        <w:rPr>
          <w:rFonts w:eastAsia="Times New Roman"/>
          <w:color w:val="000000" w:themeColor="text1"/>
          <w:sz w:val="24"/>
        </w:rPr>
        <w:t>(the “</w:t>
      </w:r>
      <w:r w:rsidRPr="001727A0">
        <w:rPr>
          <w:rFonts w:eastAsia="Times New Roman"/>
          <w:b/>
          <w:color w:val="000000" w:themeColor="text1"/>
          <w:sz w:val="24"/>
          <w:u w:val="single"/>
        </w:rPr>
        <w:t>Effective Date</w:t>
      </w:r>
      <w:r w:rsidRPr="001727A0">
        <w:rPr>
          <w:rFonts w:eastAsia="Times New Roman"/>
          <w:color w:val="000000" w:themeColor="text1"/>
          <w:sz w:val="24"/>
        </w:rPr>
        <w:t xml:space="preserve">”), between </w:t>
      </w:r>
      <w:r w:rsidR="00885941" w:rsidRPr="001727A0">
        <w:rPr>
          <w:rFonts w:eastAsia="Times New Roman"/>
          <w:color w:val="000000" w:themeColor="text1"/>
          <w:sz w:val="24"/>
        </w:rPr>
        <w:t>San Diego Community Power</w:t>
      </w:r>
      <w:r w:rsidRPr="001727A0">
        <w:rPr>
          <w:color w:val="000000" w:themeColor="text1"/>
          <w:sz w:val="24"/>
        </w:rPr>
        <w:t xml:space="preserve"> (“</w:t>
      </w:r>
      <w:r w:rsidR="00885941" w:rsidRPr="001727A0">
        <w:rPr>
          <w:b/>
          <w:color w:val="000000" w:themeColor="text1"/>
          <w:sz w:val="24"/>
          <w:u w:val="single"/>
        </w:rPr>
        <w:t>SDCP</w:t>
      </w:r>
      <w:r w:rsidRPr="001727A0">
        <w:rPr>
          <w:color w:val="000000" w:themeColor="text1"/>
          <w:sz w:val="24"/>
        </w:rPr>
        <w:t xml:space="preserve">”) </w:t>
      </w:r>
      <w:r w:rsidRPr="001727A0">
        <w:rPr>
          <w:rFonts w:eastAsia="Times New Roman"/>
          <w:color w:val="000000" w:themeColor="text1"/>
          <w:sz w:val="24"/>
        </w:rPr>
        <w:t>and [</w:t>
      </w:r>
      <w:r w:rsidRPr="001727A0">
        <w:rPr>
          <w:rFonts w:eastAsia="Times New Roman"/>
          <w:i/>
          <w:color w:val="000000" w:themeColor="text1"/>
          <w:sz w:val="24"/>
        </w:rPr>
        <w:t>Respondent</w:t>
      </w:r>
      <w:r w:rsidRPr="001727A0">
        <w:rPr>
          <w:rFonts w:eastAsia="Times New Roman"/>
          <w:color w:val="000000" w:themeColor="text1"/>
          <w:sz w:val="24"/>
        </w:rPr>
        <w:t>] (“</w:t>
      </w:r>
      <w:r w:rsidRPr="001727A0">
        <w:rPr>
          <w:rFonts w:eastAsia="Times New Roman"/>
          <w:b/>
          <w:color w:val="000000" w:themeColor="text1"/>
          <w:sz w:val="24"/>
          <w:u w:val="single"/>
        </w:rPr>
        <w:t>Respondent</w:t>
      </w:r>
      <w:r w:rsidRPr="001727A0">
        <w:rPr>
          <w:rFonts w:eastAsia="Times New Roman"/>
          <w:color w:val="000000" w:themeColor="text1"/>
          <w:sz w:val="24"/>
        </w:rPr>
        <w:t xml:space="preserve">”).  </w:t>
      </w:r>
      <w:r w:rsidRPr="001727A0">
        <w:rPr>
          <w:sz w:val="24"/>
        </w:rPr>
        <w:t xml:space="preserve">This Term Sheet is intended to set forth the key commercial terms and conditions to be included in a proposed agreement for the purchase and sale of </w:t>
      </w:r>
      <w:r w:rsidR="00745731" w:rsidRPr="001727A0">
        <w:rPr>
          <w:sz w:val="24"/>
        </w:rPr>
        <w:t>renewable energy</w:t>
      </w:r>
      <w:r w:rsidR="00F57550" w:rsidRPr="001727A0">
        <w:rPr>
          <w:sz w:val="24"/>
        </w:rPr>
        <w:t xml:space="preserve"> </w:t>
      </w:r>
      <w:r w:rsidR="00A00764" w:rsidRPr="001727A0">
        <w:rPr>
          <w:sz w:val="24"/>
        </w:rPr>
        <w:t xml:space="preserve">product </w:t>
      </w:r>
      <w:r w:rsidRPr="001727A0">
        <w:rPr>
          <w:sz w:val="24"/>
        </w:rPr>
        <w:t>(“</w:t>
      </w:r>
      <w:r w:rsidR="004776F6" w:rsidRPr="001727A0">
        <w:rPr>
          <w:b/>
          <w:bCs/>
          <w:sz w:val="24"/>
          <w:u w:val="single"/>
        </w:rPr>
        <w:t>PPA</w:t>
      </w:r>
      <w:r w:rsidRPr="001727A0">
        <w:rPr>
          <w:sz w:val="24"/>
        </w:rPr>
        <w:t xml:space="preserve">”) </w:t>
      </w:r>
      <w:r w:rsidRPr="001727A0">
        <w:rPr>
          <w:rFonts w:eastAsia="Times New Roman"/>
          <w:color w:val="000000" w:themeColor="text1"/>
          <w:sz w:val="24"/>
        </w:rPr>
        <w:t xml:space="preserve">to be negotiated between </w:t>
      </w:r>
      <w:r w:rsidR="00885941" w:rsidRPr="001727A0">
        <w:rPr>
          <w:rFonts w:eastAsia="Times New Roman"/>
          <w:color w:val="000000" w:themeColor="text1"/>
          <w:sz w:val="24"/>
        </w:rPr>
        <w:t>SDCP</w:t>
      </w:r>
      <w:r w:rsidRPr="001727A0">
        <w:rPr>
          <w:color w:val="000000" w:themeColor="text1"/>
          <w:sz w:val="24"/>
        </w:rPr>
        <w:t xml:space="preserve"> </w:t>
      </w:r>
      <w:r w:rsidRPr="001727A0">
        <w:rPr>
          <w:rFonts w:eastAsia="Times New Roman"/>
          <w:color w:val="000000" w:themeColor="text1"/>
          <w:sz w:val="24"/>
        </w:rPr>
        <w:t>(“</w:t>
      </w:r>
      <w:r w:rsidRPr="001727A0">
        <w:rPr>
          <w:rFonts w:eastAsia="Times New Roman"/>
          <w:b/>
          <w:color w:val="000000" w:themeColor="text1"/>
          <w:sz w:val="24"/>
          <w:u w:val="single"/>
        </w:rPr>
        <w:t>Buyer</w:t>
      </w:r>
      <w:r w:rsidRPr="001727A0">
        <w:rPr>
          <w:rFonts w:eastAsia="Times New Roman"/>
          <w:color w:val="000000" w:themeColor="text1"/>
          <w:sz w:val="24"/>
        </w:rPr>
        <w:t>”) and [</w:t>
      </w:r>
      <w:r w:rsidRPr="001727A0">
        <w:rPr>
          <w:rFonts w:eastAsia="Times New Roman"/>
          <w:i/>
          <w:color w:val="000000" w:themeColor="text1"/>
          <w:sz w:val="24"/>
        </w:rPr>
        <w:t>e.g., Project Company LLC</w:t>
      </w:r>
      <w:r w:rsidRPr="001727A0">
        <w:rPr>
          <w:rFonts w:eastAsia="Times New Roman"/>
          <w:color w:val="000000" w:themeColor="text1"/>
          <w:sz w:val="24"/>
        </w:rPr>
        <w:t>] (“</w:t>
      </w:r>
      <w:r w:rsidRPr="001727A0">
        <w:rPr>
          <w:rFonts w:eastAsia="Times New Roman"/>
          <w:b/>
          <w:color w:val="000000" w:themeColor="text1"/>
          <w:sz w:val="24"/>
          <w:u w:val="single"/>
        </w:rPr>
        <w:t>Seller</w:t>
      </w:r>
      <w:r w:rsidRPr="001727A0">
        <w:rPr>
          <w:rFonts w:eastAsia="Times New Roman"/>
          <w:color w:val="000000" w:themeColor="text1"/>
          <w:sz w:val="24"/>
        </w:rPr>
        <w:t>”) (the “</w:t>
      </w:r>
      <w:r w:rsidRPr="001727A0">
        <w:rPr>
          <w:rFonts w:eastAsia="Times New Roman"/>
          <w:b/>
          <w:color w:val="000000" w:themeColor="text1"/>
          <w:sz w:val="24"/>
          <w:u w:val="single"/>
        </w:rPr>
        <w:t>Proposed Transaction</w:t>
      </w:r>
      <w:r w:rsidRPr="001727A0">
        <w:rPr>
          <w:rFonts w:eastAsia="Times New Roman"/>
          <w:color w:val="000000" w:themeColor="text1"/>
          <w:sz w:val="24"/>
        </w:rPr>
        <w:t>”)</w:t>
      </w:r>
      <w:r w:rsidRPr="001727A0">
        <w:rPr>
          <w:sz w:val="24"/>
        </w:rPr>
        <w:t xml:space="preserve">.  </w:t>
      </w:r>
      <w:r w:rsidRPr="001727A0">
        <w:rPr>
          <w:rFonts w:eastAsia="Times New Roman"/>
          <w:color w:val="000000" w:themeColor="text1"/>
          <w:sz w:val="24"/>
        </w:rPr>
        <w:t>As used herein, Buyer and Seller are each a “</w:t>
      </w:r>
      <w:r w:rsidRPr="001727A0">
        <w:rPr>
          <w:rFonts w:eastAsia="Times New Roman"/>
          <w:b/>
          <w:color w:val="000000" w:themeColor="text1"/>
          <w:sz w:val="24"/>
          <w:u w:val="single"/>
        </w:rPr>
        <w:t>Party</w:t>
      </w:r>
      <w:r w:rsidRPr="001727A0">
        <w:rPr>
          <w:rFonts w:eastAsia="Times New Roman"/>
          <w:color w:val="000000" w:themeColor="text1"/>
          <w:sz w:val="24"/>
        </w:rPr>
        <w:t>” and collectively the “</w:t>
      </w:r>
      <w:r w:rsidRPr="001727A0">
        <w:rPr>
          <w:rFonts w:eastAsia="Times New Roman"/>
          <w:b/>
          <w:color w:val="000000" w:themeColor="text1"/>
          <w:sz w:val="24"/>
          <w:u w:val="single"/>
        </w:rPr>
        <w:t>Parties</w:t>
      </w:r>
      <w:r w:rsidRPr="001727A0">
        <w:rPr>
          <w:rFonts w:eastAsia="Times New Roman"/>
          <w:color w:val="000000" w:themeColor="text1"/>
          <w:sz w:val="24"/>
        </w:rPr>
        <w:t xml:space="preserve">.”  Notwithstanding anything herein to the contrary, until a definitive agreement is fully </w:t>
      </w:r>
      <w:proofErr w:type="gramStart"/>
      <w:r w:rsidRPr="001727A0">
        <w:rPr>
          <w:rFonts w:eastAsia="Times New Roman"/>
          <w:color w:val="000000" w:themeColor="text1"/>
          <w:sz w:val="24"/>
        </w:rPr>
        <w:t>negotiated</w:t>
      </w:r>
      <w:proofErr w:type="gramEnd"/>
      <w:r w:rsidRPr="001727A0">
        <w:rPr>
          <w:rFonts w:eastAsia="Times New Roman"/>
          <w:color w:val="000000" w:themeColor="text1"/>
          <w:sz w:val="24"/>
        </w:rPr>
        <w:t xml:space="preserve"> and all applicable approvals </w:t>
      </w:r>
      <w:r w:rsidR="00FC1144" w:rsidRPr="001727A0">
        <w:rPr>
          <w:rFonts w:eastAsia="Times New Roman"/>
          <w:color w:val="000000" w:themeColor="text1"/>
          <w:sz w:val="24"/>
        </w:rPr>
        <w:t xml:space="preserve">have been received </w:t>
      </w:r>
      <w:r w:rsidRPr="001727A0">
        <w:rPr>
          <w:rFonts w:eastAsia="Times New Roman"/>
          <w:color w:val="000000" w:themeColor="text1"/>
          <w:sz w:val="24"/>
        </w:rPr>
        <w:t xml:space="preserve">for each Party, no Party shall have any legal obligations, expressed or implied, or arising in any other manner under this Term Sheet to continue negotiations or </w:t>
      </w:r>
      <w:proofErr w:type="gramStart"/>
      <w:r w:rsidRPr="001727A0">
        <w:rPr>
          <w:rFonts w:eastAsia="Times New Roman"/>
          <w:color w:val="000000" w:themeColor="text1"/>
          <w:sz w:val="24"/>
        </w:rPr>
        <w:t>enter into</w:t>
      </w:r>
      <w:proofErr w:type="gramEnd"/>
      <w:r w:rsidRPr="001727A0">
        <w:rPr>
          <w:rFonts w:eastAsia="Times New Roman"/>
          <w:color w:val="000000" w:themeColor="text1"/>
          <w:sz w:val="24"/>
        </w:rPr>
        <w:t xml:space="preserve"> the Proposed Transaction or the </w:t>
      </w:r>
      <w:r w:rsidR="004776F6" w:rsidRPr="001727A0">
        <w:rPr>
          <w:rFonts w:eastAsia="Times New Roman"/>
          <w:color w:val="000000" w:themeColor="text1"/>
          <w:sz w:val="24"/>
        </w:rPr>
        <w:t>PPA</w:t>
      </w:r>
      <w:r w:rsidR="000830E2" w:rsidRPr="001727A0">
        <w:rPr>
          <w:sz w:val="24"/>
        </w:rPr>
        <w:t>.</w:t>
      </w:r>
    </w:p>
    <w:p w14:paraId="543B2299" w14:textId="50D5551E" w:rsidR="007E5E8B" w:rsidRPr="001727A0" w:rsidRDefault="006F54A7" w:rsidP="0065395F">
      <w:pPr>
        <w:pStyle w:val="ListParagraph"/>
        <w:numPr>
          <w:ilvl w:val="0"/>
          <w:numId w:val="11"/>
        </w:numPr>
        <w:spacing w:after="240"/>
        <w:ind w:hanging="720"/>
        <w:contextualSpacing/>
        <w:rPr>
          <w:rFonts w:ascii="Times New Roman" w:hAnsi="Times New Roman" w:cs="Times New Roman"/>
          <w:b/>
          <w:color w:val="000000" w:themeColor="text1"/>
          <w:sz w:val="24"/>
          <w:szCs w:val="24"/>
        </w:rPr>
      </w:pPr>
      <w:r w:rsidRPr="001727A0">
        <w:rPr>
          <w:rFonts w:ascii="Times New Roman" w:hAnsi="Times New Roman" w:cs="Times New Roman"/>
          <w:b/>
          <w:color w:val="000000" w:themeColor="text1"/>
          <w:sz w:val="24"/>
          <w:szCs w:val="24"/>
        </w:rPr>
        <w:t>Terms and Conditions</w:t>
      </w:r>
      <w:r w:rsidRPr="001727A0">
        <w:rPr>
          <w:rFonts w:ascii="Times New Roman" w:hAnsi="Times New Roman" w:cs="Times New Roman"/>
          <w:color w:val="000000" w:themeColor="text1"/>
          <w:sz w:val="24"/>
          <w:szCs w:val="24"/>
        </w:rPr>
        <w:t>.</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7290"/>
      </w:tblGrid>
      <w:tr w:rsidR="00CB47AB" w:rsidRPr="001727A0" w14:paraId="52494FE3" w14:textId="6AF00FEA" w:rsidTr="00990C30">
        <w:tc>
          <w:tcPr>
            <w:tcW w:w="2070" w:type="dxa"/>
          </w:tcPr>
          <w:p w14:paraId="3F6F620F" w14:textId="0FA08815" w:rsidR="00376C46" w:rsidRPr="001727A0" w:rsidRDefault="00376C46" w:rsidP="0065395F">
            <w:pPr>
              <w:pStyle w:val="00PlainText"/>
              <w:spacing w:before="120" w:after="120"/>
              <w:ind w:left="90" w:right="90"/>
              <w:jc w:val="left"/>
              <w:rPr>
                <w:b/>
                <w:sz w:val="24"/>
              </w:rPr>
            </w:pPr>
            <w:r w:rsidRPr="001727A0">
              <w:rPr>
                <w:b/>
                <w:sz w:val="24"/>
              </w:rPr>
              <w:t>Facility:</w:t>
            </w:r>
          </w:p>
        </w:tc>
        <w:tc>
          <w:tcPr>
            <w:tcW w:w="7290" w:type="dxa"/>
          </w:tcPr>
          <w:p w14:paraId="2F11A08F" w14:textId="34FD1D32" w:rsidR="00376C46" w:rsidRPr="001727A0" w:rsidRDefault="00376C46" w:rsidP="00B514FE">
            <w:pPr>
              <w:pStyle w:val="00PlainText"/>
              <w:spacing w:before="120"/>
              <w:ind w:left="86" w:right="86"/>
              <w:rPr>
                <w:sz w:val="24"/>
              </w:rPr>
            </w:pPr>
            <w:r w:rsidRPr="001727A0">
              <w:rPr>
                <w:sz w:val="24"/>
              </w:rPr>
              <w:t>A [</w:t>
            </w:r>
            <w:r w:rsidRPr="001727A0">
              <w:rPr>
                <w:bCs/>
                <w:sz w:val="24"/>
                <w:highlight w:val="lightGray"/>
              </w:rPr>
              <w:t>__</w:t>
            </w:r>
            <w:r w:rsidRPr="001727A0">
              <w:rPr>
                <w:sz w:val="24"/>
              </w:rPr>
              <w:t>] MW [</w:t>
            </w:r>
            <w:r w:rsidRPr="001727A0">
              <w:rPr>
                <w:sz w:val="24"/>
                <w:highlight w:val="lightGray"/>
              </w:rPr>
              <w:t>renewable energy facility</w:t>
            </w:r>
            <w:r w:rsidRPr="001727A0">
              <w:rPr>
                <w:sz w:val="24"/>
              </w:rPr>
              <w:t>] located in [</w:t>
            </w:r>
            <w:r w:rsidRPr="001727A0">
              <w:rPr>
                <w:sz w:val="24"/>
                <w:highlight w:val="lightGray"/>
              </w:rPr>
              <w:t>_________</w:t>
            </w:r>
            <w:r w:rsidRPr="001727A0">
              <w:rPr>
                <w:sz w:val="24"/>
              </w:rPr>
              <w:t>] County, in the State of [</w:t>
            </w:r>
            <w:r w:rsidRPr="001727A0">
              <w:rPr>
                <w:sz w:val="24"/>
                <w:highlight w:val="lightGray"/>
              </w:rPr>
              <w:t>_________</w:t>
            </w:r>
            <w:r w:rsidRPr="001727A0">
              <w:rPr>
                <w:sz w:val="24"/>
              </w:rPr>
              <w:t>].</w:t>
            </w:r>
          </w:p>
        </w:tc>
      </w:tr>
      <w:tr w:rsidR="00CB47AB" w:rsidRPr="000718B7" w14:paraId="3C7A4814" w14:textId="77777777" w:rsidTr="00990C30">
        <w:tc>
          <w:tcPr>
            <w:tcW w:w="2070" w:type="dxa"/>
          </w:tcPr>
          <w:p w14:paraId="2F6A8767" w14:textId="11B401AF" w:rsidR="000718B7" w:rsidRPr="008F1721" w:rsidRDefault="000D267C" w:rsidP="000718B7">
            <w:pPr>
              <w:pStyle w:val="00PlainText"/>
              <w:spacing w:before="120" w:after="120"/>
              <w:ind w:left="90" w:right="90"/>
              <w:jc w:val="left"/>
              <w:rPr>
                <w:b/>
                <w:sz w:val="24"/>
              </w:rPr>
            </w:pPr>
            <w:r>
              <w:rPr>
                <w:b/>
                <w:sz w:val="24"/>
              </w:rPr>
              <w:t>Guaranteed</w:t>
            </w:r>
            <w:r w:rsidR="000718B7" w:rsidRPr="005F23F5">
              <w:rPr>
                <w:b/>
                <w:sz w:val="24"/>
              </w:rPr>
              <w:t xml:space="preserve"> Capacity:</w:t>
            </w:r>
          </w:p>
        </w:tc>
        <w:tc>
          <w:tcPr>
            <w:tcW w:w="7290" w:type="dxa"/>
          </w:tcPr>
          <w:p w14:paraId="24D9395C" w14:textId="1650BDCA" w:rsidR="000718B7" w:rsidRPr="00F63E27" w:rsidRDefault="000718B7" w:rsidP="00F63E27">
            <w:pPr>
              <w:pStyle w:val="00PlainText"/>
              <w:spacing w:before="120" w:after="120"/>
              <w:ind w:right="90"/>
              <w:rPr>
                <w:bCs/>
                <w:sz w:val="24"/>
              </w:rPr>
            </w:pPr>
            <w:r w:rsidRPr="005F23F5">
              <w:rPr>
                <w:sz w:val="24"/>
              </w:rPr>
              <w:t xml:space="preserve"> </w:t>
            </w:r>
            <w:r w:rsidRPr="005F23F5">
              <w:rPr>
                <w:bCs/>
                <w:sz w:val="24"/>
              </w:rPr>
              <w:t>[</w:t>
            </w:r>
            <w:r w:rsidRPr="005F23F5">
              <w:rPr>
                <w:bCs/>
                <w:sz w:val="24"/>
                <w:highlight w:val="lightGray"/>
              </w:rPr>
              <w:t>__</w:t>
            </w:r>
            <w:r w:rsidRPr="005F23F5">
              <w:rPr>
                <w:bCs/>
                <w:sz w:val="24"/>
              </w:rPr>
              <w:t>]</w:t>
            </w:r>
            <w:r w:rsidRPr="005F23F5">
              <w:rPr>
                <w:sz w:val="24"/>
              </w:rPr>
              <w:t xml:space="preserve"> MW</w:t>
            </w:r>
            <w:r w:rsidRPr="005F23F5">
              <w:rPr>
                <w:sz w:val="24"/>
                <w:vertAlign w:val="subscript"/>
              </w:rPr>
              <w:t>AC</w:t>
            </w:r>
            <w:r w:rsidRPr="005F23F5">
              <w:rPr>
                <w:sz w:val="24"/>
              </w:rPr>
              <w:t>.</w:t>
            </w:r>
          </w:p>
        </w:tc>
      </w:tr>
      <w:tr w:rsidR="00CB47AB" w:rsidRPr="001727A0" w14:paraId="6A58C8C8" w14:textId="62E104CF" w:rsidTr="00990C30">
        <w:tc>
          <w:tcPr>
            <w:tcW w:w="2070" w:type="dxa"/>
          </w:tcPr>
          <w:p w14:paraId="79C9A679" w14:textId="2F858C72" w:rsidR="00376C46" w:rsidRPr="001727A0" w:rsidRDefault="00376C46" w:rsidP="0065395F">
            <w:pPr>
              <w:pStyle w:val="00PlainText"/>
              <w:spacing w:before="120" w:after="120"/>
              <w:ind w:left="90" w:right="90"/>
              <w:jc w:val="left"/>
              <w:rPr>
                <w:b/>
                <w:sz w:val="24"/>
              </w:rPr>
            </w:pPr>
            <w:r w:rsidRPr="001727A0">
              <w:rPr>
                <w:b/>
                <w:sz w:val="24"/>
              </w:rPr>
              <w:t>Product</w:t>
            </w:r>
            <w:r w:rsidR="000D267C">
              <w:rPr>
                <w:b/>
                <w:sz w:val="24"/>
              </w:rPr>
              <w:t>:</w:t>
            </w:r>
          </w:p>
        </w:tc>
        <w:tc>
          <w:tcPr>
            <w:tcW w:w="7290" w:type="dxa"/>
          </w:tcPr>
          <w:p w14:paraId="48045C61" w14:textId="4FA12697" w:rsidR="00376C46" w:rsidRPr="001727A0" w:rsidDel="001C37F2" w:rsidRDefault="00376C46" w:rsidP="00CB47AB">
            <w:pPr>
              <w:pStyle w:val="00PlainText"/>
              <w:spacing w:before="120" w:after="120"/>
              <w:ind w:left="90" w:right="90"/>
              <w:rPr>
                <w:sz w:val="24"/>
              </w:rPr>
            </w:pPr>
            <w:r w:rsidRPr="001727A0">
              <w:rPr>
                <w:sz w:val="24"/>
              </w:rPr>
              <w:t xml:space="preserve">Facility Energy, Green Attributes (PCC1), Capacity Attributes, </w:t>
            </w:r>
            <w:r w:rsidR="00CB47AB">
              <w:rPr>
                <w:sz w:val="24"/>
              </w:rPr>
              <w:t xml:space="preserve">Imbalance Reserves, </w:t>
            </w:r>
            <w:r w:rsidRPr="001727A0">
              <w:rPr>
                <w:sz w:val="24"/>
              </w:rPr>
              <w:t>Ancillary Services, any other existing products and products that may be developed or evolve from time to time during the Contract Term that the Facility is able to provide as the Facility is configured on the Commercial Operation Date</w:t>
            </w:r>
          </w:p>
        </w:tc>
      </w:tr>
      <w:tr w:rsidR="00CB47AB" w:rsidRPr="00716434" w14:paraId="3B40B289" w14:textId="77777777" w:rsidTr="00990C30">
        <w:tc>
          <w:tcPr>
            <w:tcW w:w="2070" w:type="dxa"/>
          </w:tcPr>
          <w:p w14:paraId="685489D7" w14:textId="2E27F917" w:rsidR="00716434" w:rsidRPr="00716434" w:rsidRDefault="00716434" w:rsidP="00716434">
            <w:pPr>
              <w:pStyle w:val="00PlainText"/>
              <w:spacing w:before="120" w:after="120"/>
              <w:ind w:left="90" w:right="90"/>
              <w:jc w:val="left"/>
              <w:rPr>
                <w:b/>
                <w:sz w:val="24"/>
              </w:rPr>
            </w:pPr>
            <w:r w:rsidRPr="009503C8">
              <w:rPr>
                <w:b/>
                <w:sz w:val="24"/>
              </w:rPr>
              <w:t>Ancillary Services Capability:</w:t>
            </w:r>
          </w:p>
        </w:tc>
        <w:tc>
          <w:tcPr>
            <w:tcW w:w="7290" w:type="dxa"/>
          </w:tcPr>
          <w:p w14:paraId="0E38FCA3" w14:textId="4E8BC16B" w:rsidR="00716434" w:rsidRPr="00716434" w:rsidRDefault="00716434" w:rsidP="00B514FE">
            <w:pPr>
              <w:pStyle w:val="00PlainText"/>
              <w:spacing w:before="120" w:after="120"/>
              <w:ind w:left="90" w:right="90"/>
              <w:rPr>
                <w:sz w:val="24"/>
              </w:rPr>
            </w:pPr>
            <w:r w:rsidRPr="009503C8">
              <w:rPr>
                <w:sz w:val="24"/>
              </w:rPr>
              <w:t xml:space="preserve">All </w:t>
            </w:r>
            <w:r>
              <w:t>A</w:t>
            </w:r>
            <w:r w:rsidRPr="009503C8">
              <w:rPr>
                <w:sz w:val="24"/>
              </w:rPr>
              <w:t xml:space="preserve">ncillary </w:t>
            </w:r>
            <w:r>
              <w:t>S</w:t>
            </w:r>
            <w:r w:rsidRPr="009503C8">
              <w:rPr>
                <w:sz w:val="24"/>
              </w:rPr>
              <w:t>ervices, products and other attributes, if any, associated with the Installed Capacity of the Facility, including spinning reserve, non-spinning reserve, regulation up, regulation down, as each is defined in the CAISO Tariff</w:t>
            </w:r>
          </w:p>
        </w:tc>
      </w:tr>
      <w:tr w:rsidR="00CB47AB" w:rsidRPr="001727A0" w14:paraId="24AA77CA" w14:textId="58B8BFA1" w:rsidTr="00990C30">
        <w:tc>
          <w:tcPr>
            <w:tcW w:w="2070" w:type="dxa"/>
          </w:tcPr>
          <w:p w14:paraId="479BED0F" w14:textId="2D53FA0C" w:rsidR="00376C46" w:rsidRPr="001727A0" w:rsidRDefault="00376C46" w:rsidP="0065395F">
            <w:pPr>
              <w:pStyle w:val="00PlainText"/>
              <w:spacing w:before="120" w:after="120"/>
              <w:ind w:left="90" w:right="90"/>
              <w:jc w:val="left"/>
              <w:rPr>
                <w:b/>
                <w:sz w:val="24"/>
              </w:rPr>
            </w:pPr>
            <w:r w:rsidRPr="001727A0">
              <w:rPr>
                <w:b/>
                <w:sz w:val="24"/>
              </w:rPr>
              <w:t>Contract Price:</w:t>
            </w:r>
          </w:p>
        </w:tc>
        <w:tc>
          <w:tcPr>
            <w:tcW w:w="7290" w:type="dxa"/>
          </w:tcPr>
          <w:p w14:paraId="43E22EFE" w14:textId="30DA91A7" w:rsidR="00376C46" w:rsidRPr="001727A0" w:rsidRDefault="00376C46" w:rsidP="0065395F">
            <w:pPr>
              <w:pStyle w:val="00PlainText"/>
              <w:ind w:left="86" w:right="86"/>
              <w:jc w:val="left"/>
              <w:rPr>
                <w:sz w:val="24"/>
              </w:rPr>
            </w:pPr>
            <w:r w:rsidRPr="001727A0">
              <w:rPr>
                <w:sz w:val="24"/>
              </w:rPr>
              <w:t>$[</w:t>
            </w:r>
            <w:r w:rsidRPr="001727A0">
              <w:rPr>
                <w:sz w:val="24"/>
                <w:highlight w:val="lightGray"/>
              </w:rPr>
              <w:t>____</w:t>
            </w:r>
            <w:r w:rsidRPr="001727A0">
              <w:rPr>
                <w:sz w:val="24"/>
              </w:rPr>
              <w:t>]/MWh (flat) with no escalation.</w:t>
            </w:r>
          </w:p>
          <w:p w14:paraId="5A450A3A" w14:textId="77777777" w:rsidR="00376C46" w:rsidRPr="001727A0" w:rsidRDefault="00376C46" w:rsidP="00F63E27">
            <w:pPr>
              <w:pStyle w:val="00PlainText"/>
              <w:ind w:right="86"/>
              <w:jc w:val="left"/>
              <w:rPr>
                <w:sz w:val="24"/>
              </w:rPr>
            </w:pPr>
          </w:p>
          <w:p w14:paraId="5731983E" w14:textId="399507FA" w:rsidR="00376C46" w:rsidRPr="00CB47AB" w:rsidRDefault="00376C46" w:rsidP="00CB47AB">
            <w:pPr>
              <w:pStyle w:val="Level3"/>
              <w:numPr>
                <w:ilvl w:val="0"/>
                <w:numId w:val="0"/>
              </w:numPr>
              <w:ind w:left="93" w:right="83"/>
              <w:rPr>
                <w:szCs w:val="24"/>
              </w:rPr>
            </w:pPr>
            <w:r w:rsidRPr="001727A0">
              <w:rPr>
                <w:w w:val="0"/>
                <w:szCs w:val="24"/>
              </w:rPr>
              <w:t>If after the Effective Date of the PPA, the Renewable Energy Incentives are increased from the current credit amount of [</w:t>
            </w:r>
            <w:r w:rsidRPr="00FD60D0">
              <w:rPr>
                <w:w w:val="0"/>
                <w:szCs w:val="24"/>
                <w:highlight w:val="lightGray"/>
              </w:rPr>
              <w:t xml:space="preserve">XX percent (XX%), e.g., </w:t>
            </w:r>
            <w:r w:rsidR="00984B0D">
              <w:rPr>
                <w:w w:val="0"/>
                <w:szCs w:val="24"/>
                <w:highlight w:val="lightGray"/>
              </w:rPr>
              <w:t>thirty percent</w:t>
            </w:r>
            <w:r w:rsidRPr="00FD60D0">
              <w:rPr>
                <w:w w:val="0"/>
                <w:szCs w:val="24"/>
                <w:highlight w:val="lightGray"/>
              </w:rPr>
              <w:t xml:space="preserve"> (</w:t>
            </w:r>
            <w:r w:rsidR="00984B0D">
              <w:rPr>
                <w:w w:val="0"/>
                <w:szCs w:val="24"/>
              </w:rPr>
              <w:t>30%</w:t>
            </w:r>
            <w:r w:rsidRPr="001727A0">
              <w:rPr>
                <w:w w:val="0"/>
                <w:szCs w:val="24"/>
              </w:rPr>
              <w:t xml:space="preserve">)], Seller and Buyer shall each be entitled to </w:t>
            </w:r>
            <w:proofErr w:type="gramStart"/>
            <w:r w:rsidRPr="001727A0">
              <w:rPr>
                <w:w w:val="0"/>
                <w:szCs w:val="24"/>
              </w:rPr>
              <w:t>equally</w:t>
            </w:r>
            <w:proofErr w:type="gramEnd"/>
            <w:r w:rsidRPr="001727A0">
              <w:rPr>
                <w:w w:val="0"/>
                <w:szCs w:val="24"/>
              </w:rPr>
              <w:t xml:space="preserve"> share in the additional benefits with a commensurate reduction in </w:t>
            </w:r>
            <w:proofErr w:type="gramStart"/>
            <w:r w:rsidRPr="001727A0">
              <w:rPr>
                <w:w w:val="0"/>
                <w:szCs w:val="24"/>
              </w:rPr>
              <w:t xml:space="preserve">the </w:t>
            </w:r>
            <w:r w:rsidR="00AC02A8">
              <w:rPr>
                <w:w w:val="0"/>
                <w:szCs w:val="24"/>
              </w:rPr>
              <w:t xml:space="preserve"> Contract</w:t>
            </w:r>
            <w:proofErr w:type="gramEnd"/>
            <w:r w:rsidR="00AC02A8">
              <w:rPr>
                <w:w w:val="0"/>
                <w:szCs w:val="24"/>
              </w:rPr>
              <w:t xml:space="preserve"> Price </w:t>
            </w:r>
            <w:r w:rsidRPr="001727A0">
              <w:rPr>
                <w:w w:val="0"/>
                <w:szCs w:val="24"/>
              </w:rPr>
              <w:t>for Buyer.</w:t>
            </w:r>
          </w:p>
        </w:tc>
      </w:tr>
      <w:tr w:rsidR="004123B0" w:rsidRPr="001727A0" w14:paraId="08A7F2E0" w14:textId="77777777" w:rsidTr="00990C30">
        <w:tc>
          <w:tcPr>
            <w:tcW w:w="2070" w:type="dxa"/>
          </w:tcPr>
          <w:p w14:paraId="15113C4B" w14:textId="345BCE7A" w:rsidR="004123B0" w:rsidRPr="001727A0" w:rsidRDefault="004123B0" w:rsidP="004123B0">
            <w:pPr>
              <w:pStyle w:val="00PlainText"/>
              <w:spacing w:before="120" w:after="120"/>
              <w:ind w:left="90" w:right="90"/>
              <w:jc w:val="left"/>
              <w:rPr>
                <w:b/>
                <w:sz w:val="24"/>
              </w:rPr>
            </w:pPr>
            <w:r w:rsidRPr="001727A0">
              <w:rPr>
                <w:b/>
                <w:color w:val="282828"/>
                <w:sz w:val="24"/>
              </w:rPr>
              <w:t xml:space="preserve">Compensation </w:t>
            </w:r>
          </w:p>
        </w:tc>
        <w:tc>
          <w:tcPr>
            <w:tcW w:w="7290" w:type="dxa"/>
          </w:tcPr>
          <w:p w14:paraId="1E60D34C" w14:textId="255FC482" w:rsidR="004123B0" w:rsidRDefault="004123B0" w:rsidP="00F63E27">
            <w:pPr>
              <w:pStyle w:val="00PlainText"/>
              <w:spacing w:before="120" w:after="120"/>
              <w:ind w:left="90" w:right="90"/>
              <w:rPr>
                <w:sz w:val="24"/>
              </w:rPr>
            </w:pPr>
            <w:r w:rsidRPr="001727A0">
              <w:rPr>
                <w:sz w:val="24"/>
              </w:rPr>
              <w:t xml:space="preserve">Buyer shall pay Seller the </w:t>
            </w:r>
            <w:r w:rsidR="003E334F">
              <w:rPr>
                <w:sz w:val="24"/>
              </w:rPr>
              <w:t xml:space="preserve">Contract Price </w:t>
            </w:r>
            <w:r w:rsidRPr="001727A0">
              <w:rPr>
                <w:sz w:val="24"/>
              </w:rPr>
              <w:t xml:space="preserve">for each MWh of Facility Energy plus the amount of Deemed Delivered Energy (as adjusted by the Curtailment Cap), for the relevant month, up to one hundred five percent (105%) of the Expected Energy for each Contract Year. </w:t>
            </w:r>
            <w:r w:rsidRPr="001727A0">
              <w:rPr>
                <w:sz w:val="24"/>
                <w:highlight w:val="lightGray"/>
              </w:rPr>
              <w:t xml:space="preserve">[If applicable, the </w:t>
            </w:r>
            <w:r w:rsidR="003E334F">
              <w:rPr>
                <w:sz w:val="24"/>
                <w:highlight w:val="lightGray"/>
              </w:rPr>
              <w:t>Contract Price</w:t>
            </w:r>
            <w:r w:rsidR="00A1296E">
              <w:rPr>
                <w:sz w:val="24"/>
                <w:highlight w:val="lightGray"/>
              </w:rPr>
              <w:t xml:space="preserve"> </w:t>
            </w:r>
            <w:r w:rsidRPr="001727A0">
              <w:rPr>
                <w:sz w:val="24"/>
                <w:highlight w:val="lightGray"/>
              </w:rPr>
              <w:t>shall be subject to a Settlement Point adjustment.  The “Settlement Point” shall be [</w:t>
            </w:r>
            <w:proofErr w:type="spellStart"/>
            <w:r w:rsidRPr="001727A0">
              <w:rPr>
                <w:sz w:val="24"/>
                <w:highlight w:val="lightGray"/>
              </w:rPr>
              <w:t>pNode</w:t>
            </w:r>
            <w:proofErr w:type="spellEnd"/>
            <w:r w:rsidRPr="001727A0">
              <w:rPr>
                <w:sz w:val="24"/>
                <w:highlight w:val="lightGray"/>
              </w:rPr>
              <w:t>/SP-15].]</w:t>
            </w:r>
            <w:r w:rsidRPr="001727A0">
              <w:rPr>
                <w:sz w:val="24"/>
              </w:rPr>
              <w:t xml:space="preserve">   </w:t>
            </w:r>
          </w:p>
          <w:p w14:paraId="5142BF0B" w14:textId="66027C07" w:rsidR="004123B0" w:rsidRPr="00F63E27" w:rsidRDefault="004123B0" w:rsidP="00F63E27">
            <w:pPr>
              <w:pStyle w:val="00PlainText"/>
              <w:spacing w:before="120" w:after="120"/>
              <w:ind w:left="90" w:right="90"/>
              <w:rPr>
                <w:sz w:val="24"/>
              </w:rPr>
            </w:pPr>
            <w:r w:rsidRPr="004123B0">
              <w:rPr>
                <w:sz w:val="24"/>
              </w:rPr>
              <w:lastRenderedPageBreak/>
              <w:t>If Facility Energy and  Deemed Delivered Energy exceeds one hundred five percent (105%) of the Expected Energy for the Contract Year, the price for each MWh of Facility or Deemed Delivered Energy shall be equal to the lesser of (a) the Delivery Point LMP for the Real Time Market for the applicable Settlement Interval, but not less than $0.00/MWh, or (b) fifty percent (50%) of the</w:t>
            </w:r>
            <w:r w:rsidR="003E334F">
              <w:rPr>
                <w:sz w:val="24"/>
              </w:rPr>
              <w:t xml:space="preserve"> Contract Price</w:t>
            </w:r>
            <w:r w:rsidRPr="004123B0">
              <w:rPr>
                <w:sz w:val="24"/>
              </w:rPr>
              <w:t>. If Facility Energy and Deemed Delivered Energy exceeds one hundred fifteen (115%) of the Expected Energy for the Contract Year, no payment shall be owed by Buyer for excess deliveries or Deemed Delivered Energy.</w:t>
            </w:r>
          </w:p>
        </w:tc>
      </w:tr>
      <w:tr w:rsidR="004123B0" w:rsidRPr="001727A0" w14:paraId="2B8465F4" w14:textId="77777777" w:rsidTr="00990C30">
        <w:tc>
          <w:tcPr>
            <w:tcW w:w="2070" w:type="dxa"/>
          </w:tcPr>
          <w:p w14:paraId="25D31B49" w14:textId="0F87A13F" w:rsidR="004123B0" w:rsidRPr="001727A0" w:rsidRDefault="004123B0" w:rsidP="004123B0">
            <w:pPr>
              <w:pStyle w:val="00PlainText"/>
              <w:spacing w:before="120" w:after="120"/>
              <w:ind w:left="90" w:right="90"/>
              <w:jc w:val="left"/>
              <w:rPr>
                <w:b/>
                <w:sz w:val="24"/>
              </w:rPr>
            </w:pPr>
            <w:r w:rsidRPr="001727A0">
              <w:rPr>
                <w:b/>
                <w:sz w:val="24"/>
              </w:rPr>
              <w:lastRenderedPageBreak/>
              <w:t>Delivery Term:</w:t>
            </w:r>
          </w:p>
        </w:tc>
        <w:tc>
          <w:tcPr>
            <w:tcW w:w="7290" w:type="dxa"/>
          </w:tcPr>
          <w:p w14:paraId="2ECA8CB2" w14:textId="614198AB" w:rsidR="004123B0" w:rsidRPr="001727A0" w:rsidRDefault="004123B0" w:rsidP="004123B0">
            <w:pPr>
              <w:pStyle w:val="00PlainText"/>
              <w:spacing w:before="120" w:after="120"/>
              <w:ind w:left="86" w:right="86"/>
              <w:rPr>
                <w:sz w:val="24"/>
              </w:rPr>
            </w:pPr>
            <w:r w:rsidRPr="001727A0">
              <w:rPr>
                <w:bCs/>
                <w:sz w:val="24"/>
              </w:rPr>
              <w:t>[</w:t>
            </w:r>
            <w:r w:rsidRPr="001727A0">
              <w:rPr>
                <w:bCs/>
                <w:sz w:val="24"/>
                <w:highlight w:val="lightGray"/>
              </w:rPr>
              <w:t>10 / 15 / 20</w:t>
            </w:r>
            <w:r w:rsidRPr="001727A0">
              <w:rPr>
                <w:bCs/>
                <w:sz w:val="24"/>
              </w:rPr>
              <w:t>]</w:t>
            </w:r>
            <w:r w:rsidRPr="001727A0">
              <w:rPr>
                <w:sz w:val="24"/>
              </w:rPr>
              <w:t xml:space="preserve"> Contract Years.</w:t>
            </w:r>
          </w:p>
        </w:tc>
      </w:tr>
      <w:tr w:rsidR="004123B0" w:rsidRPr="001727A0" w14:paraId="168DA7A2" w14:textId="5AF33CD0" w:rsidTr="00990C30">
        <w:tc>
          <w:tcPr>
            <w:tcW w:w="2070" w:type="dxa"/>
          </w:tcPr>
          <w:p w14:paraId="226B135A" w14:textId="00AF0EEF" w:rsidR="004123B0" w:rsidRPr="001727A0" w:rsidRDefault="004123B0" w:rsidP="004123B0">
            <w:pPr>
              <w:pStyle w:val="00PlainText"/>
              <w:spacing w:before="120" w:after="120"/>
              <w:ind w:left="90" w:right="90"/>
              <w:jc w:val="left"/>
              <w:rPr>
                <w:b/>
                <w:sz w:val="24"/>
              </w:rPr>
            </w:pPr>
            <w:r w:rsidRPr="001727A0">
              <w:rPr>
                <w:b/>
                <w:sz w:val="24"/>
              </w:rPr>
              <w:t>Interconnection Point:</w:t>
            </w:r>
          </w:p>
        </w:tc>
        <w:tc>
          <w:tcPr>
            <w:tcW w:w="7290" w:type="dxa"/>
          </w:tcPr>
          <w:p w14:paraId="00D21574" w14:textId="78DB21E5" w:rsidR="004123B0" w:rsidRPr="001727A0" w:rsidRDefault="004123B0" w:rsidP="004123B0">
            <w:pPr>
              <w:pStyle w:val="00PlainText"/>
              <w:spacing w:before="120" w:after="120"/>
              <w:ind w:left="86" w:right="86"/>
              <w:rPr>
                <w:sz w:val="24"/>
              </w:rPr>
            </w:pPr>
            <w:r w:rsidRPr="001727A0">
              <w:rPr>
                <w:sz w:val="24"/>
              </w:rPr>
              <w:t>[</w:t>
            </w:r>
            <w:r w:rsidRPr="00BC4585">
              <w:rPr>
                <w:bCs/>
                <w:sz w:val="24"/>
                <w:highlight w:val="lightGray"/>
              </w:rPr>
              <w:t>XX substation</w:t>
            </w:r>
            <w:r w:rsidRPr="001727A0">
              <w:rPr>
                <w:sz w:val="24"/>
              </w:rPr>
              <w:t>]. Seller shall be responsible for all costs of interconnecting the Facility to the Interconnection Point.</w:t>
            </w:r>
          </w:p>
        </w:tc>
      </w:tr>
      <w:tr w:rsidR="004123B0" w:rsidRPr="001727A0" w14:paraId="23E0E6E9" w14:textId="77777777" w:rsidTr="00990C30">
        <w:tc>
          <w:tcPr>
            <w:tcW w:w="2070" w:type="dxa"/>
          </w:tcPr>
          <w:p w14:paraId="729E3DCB" w14:textId="6EA196BD" w:rsidR="004123B0" w:rsidRPr="001727A0" w:rsidRDefault="004123B0" w:rsidP="004123B0">
            <w:pPr>
              <w:pStyle w:val="00PlainText"/>
              <w:spacing w:before="120" w:after="120"/>
              <w:ind w:left="90" w:right="90"/>
              <w:jc w:val="left"/>
              <w:rPr>
                <w:b/>
                <w:sz w:val="24"/>
              </w:rPr>
            </w:pPr>
            <w:r w:rsidRPr="001727A0">
              <w:rPr>
                <w:b/>
                <w:sz w:val="24"/>
              </w:rPr>
              <w:t>Delivery Point:</w:t>
            </w:r>
          </w:p>
        </w:tc>
        <w:tc>
          <w:tcPr>
            <w:tcW w:w="7290" w:type="dxa"/>
          </w:tcPr>
          <w:p w14:paraId="3BB57FAB" w14:textId="085CF95B" w:rsidR="004123B0" w:rsidRPr="001727A0" w:rsidRDefault="004123B0" w:rsidP="004123B0">
            <w:pPr>
              <w:pStyle w:val="00PlainText"/>
              <w:spacing w:before="120" w:after="120"/>
              <w:ind w:left="90" w:right="90"/>
              <w:rPr>
                <w:bCs/>
                <w:sz w:val="24"/>
              </w:rPr>
            </w:pPr>
            <w:r>
              <w:rPr>
                <w:bCs/>
                <w:sz w:val="24"/>
              </w:rPr>
              <w:t>[</w:t>
            </w:r>
            <w:r w:rsidRPr="00FD60D0">
              <w:rPr>
                <w:bCs/>
                <w:sz w:val="24"/>
              </w:rPr>
              <w:t xml:space="preserve">The Facility </w:t>
            </w:r>
            <w:proofErr w:type="spellStart"/>
            <w:r w:rsidRPr="00FD60D0">
              <w:rPr>
                <w:bCs/>
                <w:sz w:val="24"/>
              </w:rPr>
              <w:t>p</w:t>
            </w:r>
            <w:r w:rsidR="003352C0">
              <w:rPr>
                <w:bCs/>
                <w:sz w:val="24"/>
              </w:rPr>
              <w:t>N</w:t>
            </w:r>
            <w:r w:rsidRPr="00FD60D0">
              <w:rPr>
                <w:bCs/>
                <w:sz w:val="24"/>
              </w:rPr>
              <w:t>ode</w:t>
            </w:r>
            <w:proofErr w:type="spellEnd"/>
            <w:r w:rsidRPr="00FD60D0">
              <w:rPr>
                <w:bCs/>
                <w:sz w:val="24"/>
              </w:rPr>
              <w:t xml:space="preserve"> on the CAISO Grid</w:t>
            </w:r>
            <w:r>
              <w:rPr>
                <w:bCs/>
                <w:sz w:val="24"/>
              </w:rPr>
              <w:t>]</w:t>
            </w:r>
          </w:p>
        </w:tc>
      </w:tr>
      <w:tr w:rsidR="004123B0" w:rsidRPr="001727A0" w14:paraId="42961FA3" w14:textId="15E4BF4E" w:rsidTr="00990C30">
        <w:tc>
          <w:tcPr>
            <w:tcW w:w="2070" w:type="dxa"/>
          </w:tcPr>
          <w:p w14:paraId="022665B5" w14:textId="748A4169" w:rsidR="004123B0" w:rsidRPr="001727A0" w:rsidRDefault="004123B0" w:rsidP="004123B0">
            <w:pPr>
              <w:pStyle w:val="00PlainText"/>
              <w:spacing w:before="120" w:after="120"/>
              <w:ind w:left="90" w:right="90"/>
              <w:jc w:val="left"/>
              <w:rPr>
                <w:b/>
                <w:sz w:val="24"/>
              </w:rPr>
            </w:pPr>
            <w:r w:rsidRPr="001727A0">
              <w:rPr>
                <w:b/>
                <w:sz w:val="24"/>
              </w:rPr>
              <w:t>Capacity Area:</w:t>
            </w:r>
          </w:p>
        </w:tc>
        <w:tc>
          <w:tcPr>
            <w:tcW w:w="7290" w:type="dxa"/>
          </w:tcPr>
          <w:p w14:paraId="1618703A" w14:textId="41CBFEBD" w:rsidR="004123B0" w:rsidRPr="001727A0" w:rsidRDefault="004123B0" w:rsidP="004123B0">
            <w:pPr>
              <w:pStyle w:val="00PlainText"/>
              <w:spacing w:before="120" w:after="120"/>
              <w:ind w:left="90" w:right="90"/>
              <w:rPr>
                <w:bCs/>
                <w:sz w:val="24"/>
              </w:rPr>
            </w:pPr>
            <w:r w:rsidRPr="001727A0">
              <w:rPr>
                <w:bCs/>
                <w:sz w:val="24"/>
              </w:rPr>
              <w:t>[</w:t>
            </w:r>
            <w:r w:rsidRPr="001727A0">
              <w:rPr>
                <w:bCs/>
                <w:sz w:val="24"/>
                <w:highlight w:val="lightGray"/>
              </w:rPr>
              <w:t>CAISO System, Sierra, Stockton, LA Basin, SD-IV, etc.</w:t>
            </w:r>
            <w:r w:rsidRPr="001727A0">
              <w:rPr>
                <w:bCs/>
                <w:sz w:val="24"/>
              </w:rPr>
              <w:t>]</w:t>
            </w:r>
          </w:p>
        </w:tc>
      </w:tr>
      <w:tr w:rsidR="004123B0" w:rsidRPr="001727A0" w14:paraId="1DB738BB" w14:textId="77777777" w:rsidTr="00990C30">
        <w:tc>
          <w:tcPr>
            <w:tcW w:w="2070" w:type="dxa"/>
          </w:tcPr>
          <w:p w14:paraId="75C2AB00" w14:textId="772F691C" w:rsidR="004123B0" w:rsidRDefault="004123B0" w:rsidP="004123B0">
            <w:pPr>
              <w:pStyle w:val="00PlainText"/>
              <w:spacing w:before="120" w:after="120"/>
              <w:ind w:left="90" w:right="90"/>
              <w:jc w:val="left"/>
              <w:rPr>
                <w:b/>
                <w:sz w:val="24"/>
              </w:rPr>
            </w:pPr>
            <w:r w:rsidRPr="001727A0">
              <w:rPr>
                <w:b/>
                <w:sz w:val="24"/>
              </w:rPr>
              <w:t>Scheduling Coordinator:</w:t>
            </w:r>
          </w:p>
        </w:tc>
        <w:tc>
          <w:tcPr>
            <w:tcW w:w="7290" w:type="dxa"/>
          </w:tcPr>
          <w:p w14:paraId="482710AB" w14:textId="70E052BA" w:rsidR="004123B0" w:rsidRPr="001727A0" w:rsidRDefault="004123B0" w:rsidP="004123B0">
            <w:pPr>
              <w:pStyle w:val="00PlainText"/>
              <w:spacing w:before="120" w:after="120"/>
              <w:ind w:left="90" w:right="90"/>
              <w:rPr>
                <w:b/>
                <w:iCs/>
                <w:sz w:val="24"/>
                <w:u w:val="single"/>
              </w:rPr>
            </w:pPr>
            <w:r w:rsidRPr="001727A0">
              <w:rPr>
                <w:bCs/>
                <w:sz w:val="24"/>
              </w:rPr>
              <w:t xml:space="preserve">Buyer or Buyer’s agent </w:t>
            </w:r>
          </w:p>
        </w:tc>
      </w:tr>
      <w:tr w:rsidR="004123B0" w:rsidRPr="001727A0" w14:paraId="780D62DE" w14:textId="77777777" w:rsidTr="00990C30">
        <w:tc>
          <w:tcPr>
            <w:tcW w:w="2070" w:type="dxa"/>
          </w:tcPr>
          <w:p w14:paraId="5CFBC617" w14:textId="05DFB297" w:rsidR="004123B0" w:rsidRDefault="004123B0" w:rsidP="004123B0">
            <w:pPr>
              <w:pStyle w:val="00PlainText"/>
              <w:spacing w:before="120" w:after="120"/>
              <w:ind w:left="90" w:right="90"/>
              <w:jc w:val="left"/>
              <w:rPr>
                <w:b/>
                <w:sz w:val="24"/>
              </w:rPr>
            </w:pPr>
            <w:r w:rsidRPr="001727A0">
              <w:rPr>
                <w:b/>
                <w:color w:val="282828"/>
                <w:sz w:val="24"/>
              </w:rPr>
              <w:t>Seller Security Requirements:</w:t>
            </w:r>
          </w:p>
        </w:tc>
        <w:tc>
          <w:tcPr>
            <w:tcW w:w="7290" w:type="dxa"/>
          </w:tcPr>
          <w:p w14:paraId="71D3097E" w14:textId="77777777" w:rsidR="004123B0" w:rsidRPr="001727A0" w:rsidRDefault="004123B0" w:rsidP="004123B0">
            <w:pPr>
              <w:pStyle w:val="00PlainText"/>
              <w:spacing w:before="120" w:after="120"/>
              <w:ind w:left="90" w:right="90"/>
              <w:rPr>
                <w:sz w:val="24"/>
              </w:rPr>
            </w:pPr>
            <w:r w:rsidRPr="001727A0">
              <w:rPr>
                <w:sz w:val="24"/>
              </w:rPr>
              <w:t>“</w:t>
            </w:r>
            <w:r w:rsidRPr="001727A0">
              <w:rPr>
                <w:b/>
                <w:bCs/>
                <w:sz w:val="24"/>
              </w:rPr>
              <w:t>Development Security</w:t>
            </w:r>
            <w:r w:rsidRPr="001727A0">
              <w:rPr>
                <w:sz w:val="24"/>
              </w:rPr>
              <w:t>” – $90/kW multiplied by the Guaranteed Contract Capacity</w:t>
            </w:r>
          </w:p>
          <w:p w14:paraId="48202148" w14:textId="77777777" w:rsidR="004123B0" w:rsidRPr="001727A0" w:rsidRDefault="004123B0" w:rsidP="004123B0">
            <w:pPr>
              <w:pStyle w:val="00PlainText"/>
              <w:spacing w:before="120" w:after="120"/>
              <w:ind w:left="90" w:right="90"/>
              <w:rPr>
                <w:sz w:val="24"/>
              </w:rPr>
            </w:pPr>
            <w:r w:rsidRPr="001727A0">
              <w:rPr>
                <w:sz w:val="24"/>
              </w:rPr>
              <w:t>“</w:t>
            </w:r>
            <w:r w:rsidRPr="001727A0">
              <w:rPr>
                <w:b/>
                <w:bCs/>
                <w:sz w:val="24"/>
              </w:rPr>
              <w:t>Performance Security</w:t>
            </w:r>
            <w:r w:rsidRPr="001727A0">
              <w:rPr>
                <w:sz w:val="24"/>
              </w:rPr>
              <w:t>” – $105/kW multiplied by the Installed Capacity</w:t>
            </w:r>
          </w:p>
          <w:p w14:paraId="6D7B2957" w14:textId="77777777" w:rsidR="004123B0" w:rsidRPr="001727A0" w:rsidRDefault="004123B0" w:rsidP="004123B0">
            <w:pPr>
              <w:pStyle w:val="00PlainText"/>
              <w:numPr>
                <w:ilvl w:val="0"/>
                <w:numId w:val="24"/>
              </w:numPr>
              <w:spacing w:before="120" w:after="120"/>
              <w:ind w:left="453" w:right="90"/>
              <w:rPr>
                <w:sz w:val="24"/>
              </w:rPr>
            </w:pPr>
            <w:r w:rsidRPr="001727A0">
              <w:rPr>
                <w:sz w:val="24"/>
              </w:rPr>
              <w:t xml:space="preserve">Seller shall deliver the Development Security to Buyer within thirty (30) days of the Effective Date.  Development Security shall be in the form of cash or a Letter of Credit. </w:t>
            </w:r>
          </w:p>
          <w:p w14:paraId="28EDE8F7" w14:textId="77777777" w:rsidR="004123B0" w:rsidRPr="001727A0" w:rsidRDefault="004123B0" w:rsidP="004123B0">
            <w:pPr>
              <w:pStyle w:val="00PlainText"/>
              <w:numPr>
                <w:ilvl w:val="0"/>
                <w:numId w:val="24"/>
              </w:numPr>
              <w:spacing w:before="120" w:after="120"/>
              <w:ind w:left="453" w:right="90"/>
              <w:rPr>
                <w:sz w:val="24"/>
              </w:rPr>
            </w:pPr>
            <w:r w:rsidRPr="001727A0">
              <w:rPr>
                <w:sz w:val="24"/>
              </w:rPr>
              <w:t>Seller shall deliver Performance Security to Buyer on or before the Commercial Operation Date in the form of cash or a Letter of Credit.</w:t>
            </w:r>
          </w:p>
          <w:p w14:paraId="41EB3998" w14:textId="4A0F1708" w:rsidR="004123B0" w:rsidRPr="001727A0" w:rsidRDefault="004123B0" w:rsidP="004123B0">
            <w:pPr>
              <w:pStyle w:val="00PlainText"/>
              <w:spacing w:before="120" w:after="120"/>
              <w:ind w:left="90" w:right="90"/>
              <w:rPr>
                <w:b/>
                <w:iCs/>
                <w:sz w:val="24"/>
                <w:u w:val="single"/>
              </w:rPr>
            </w:pPr>
            <w:r w:rsidRPr="001727A0">
              <w:rPr>
                <w:sz w:val="24"/>
              </w:rPr>
              <w:t>Within five (5) Business Days following any draw by Buyer on the Performance Security, Seller shall replenish the amount drawn such that the security is restored to the applicable amount.</w:t>
            </w:r>
          </w:p>
        </w:tc>
      </w:tr>
      <w:tr w:rsidR="004123B0" w:rsidRPr="001727A0" w14:paraId="48F4AEB6" w14:textId="77777777" w:rsidTr="00990C30">
        <w:tc>
          <w:tcPr>
            <w:tcW w:w="2070" w:type="dxa"/>
          </w:tcPr>
          <w:p w14:paraId="143233B2" w14:textId="53712621" w:rsidR="004123B0" w:rsidRDefault="004123B0" w:rsidP="004123B0">
            <w:pPr>
              <w:pStyle w:val="00PlainText"/>
              <w:spacing w:before="120" w:after="120"/>
              <w:ind w:left="90" w:right="90"/>
              <w:jc w:val="left"/>
              <w:rPr>
                <w:b/>
                <w:szCs w:val="22"/>
              </w:rPr>
            </w:pPr>
            <w:r>
              <w:rPr>
                <w:b/>
                <w:sz w:val="24"/>
              </w:rPr>
              <w:t>Guaranteed Milestones</w:t>
            </w:r>
          </w:p>
        </w:tc>
        <w:tc>
          <w:tcPr>
            <w:tcW w:w="7290" w:type="dxa"/>
          </w:tcPr>
          <w:p w14:paraId="36D091D0" w14:textId="5427C551" w:rsidR="004123B0" w:rsidRPr="001727A0" w:rsidRDefault="004123B0" w:rsidP="00FD0C5C">
            <w:pPr>
              <w:pStyle w:val="JeffsPreferredBullets"/>
              <w:numPr>
                <w:ilvl w:val="0"/>
                <w:numId w:val="0"/>
              </w:numPr>
              <w:spacing w:before="120" w:after="120" w:line="240" w:lineRule="auto"/>
              <w:ind w:firstLine="90"/>
              <w:contextualSpacing w:val="0"/>
              <w:jc w:val="both"/>
              <w:rPr>
                <w:rFonts w:ascii="Times New Roman" w:hAnsi="Times New Roman" w:cs="Times New Roman"/>
                <w:sz w:val="24"/>
                <w:szCs w:val="24"/>
              </w:rPr>
            </w:pPr>
            <w:r w:rsidRPr="001727A0">
              <w:rPr>
                <w:rFonts w:ascii="Times New Roman" w:hAnsi="Times New Roman" w:cs="Times New Roman"/>
                <w:sz w:val="24"/>
                <w:szCs w:val="24"/>
              </w:rPr>
              <w:t>[</w:t>
            </w:r>
            <w:r w:rsidRPr="001727A0">
              <w:rPr>
                <w:rFonts w:ascii="Times New Roman" w:hAnsi="Times New Roman" w:cs="Times New Roman"/>
                <w:i/>
                <w:iCs/>
                <w:sz w:val="24"/>
                <w:szCs w:val="24"/>
                <w:highlight w:val="lightGray"/>
              </w:rPr>
              <w:t>mm/dd/</w:t>
            </w:r>
            <w:proofErr w:type="spellStart"/>
            <w:r w:rsidRPr="001727A0">
              <w:rPr>
                <w:rFonts w:ascii="Times New Roman" w:hAnsi="Times New Roman" w:cs="Times New Roman"/>
                <w:i/>
                <w:iCs/>
                <w:sz w:val="24"/>
                <w:szCs w:val="24"/>
                <w:highlight w:val="lightGray"/>
              </w:rPr>
              <w:t>yyyy</w:t>
            </w:r>
            <w:proofErr w:type="spellEnd"/>
            <w:r w:rsidRPr="001727A0">
              <w:rPr>
                <w:rFonts w:ascii="Times New Roman" w:hAnsi="Times New Roman" w:cs="Times New Roman"/>
                <w:sz w:val="24"/>
                <w:szCs w:val="24"/>
              </w:rPr>
              <w:t>] –</w:t>
            </w:r>
            <w:r w:rsidR="00884147">
              <w:rPr>
                <w:rFonts w:ascii="Times New Roman" w:hAnsi="Times New Roman" w:cs="Times New Roman"/>
                <w:sz w:val="24"/>
                <w:szCs w:val="24"/>
              </w:rPr>
              <w:t xml:space="preserve"> </w:t>
            </w:r>
            <w:r w:rsidRPr="001727A0">
              <w:rPr>
                <w:rFonts w:ascii="Times New Roman" w:hAnsi="Times New Roman" w:cs="Times New Roman"/>
                <w:sz w:val="24"/>
                <w:szCs w:val="24"/>
              </w:rPr>
              <w:t>Guaranteed Construction Start Date</w:t>
            </w:r>
          </w:p>
          <w:p w14:paraId="64F5E8E6" w14:textId="59E6E4B6" w:rsidR="004123B0" w:rsidRDefault="004123B0" w:rsidP="004123B0">
            <w:pPr>
              <w:pStyle w:val="00PlainText"/>
              <w:spacing w:before="120" w:after="120"/>
              <w:ind w:left="90" w:right="90"/>
            </w:pPr>
            <w:r w:rsidRPr="001727A0">
              <w:rPr>
                <w:sz w:val="24"/>
              </w:rPr>
              <w:t>[</w:t>
            </w:r>
            <w:r w:rsidRPr="001727A0">
              <w:rPr>
                <w:i/>
                <w:iCs/>
                <w:sz w:val="24"/>
                <w:highlight w:val="lightGray"/>
              </w:rPr>
              <w:t>mm/dd/</w:t>
            </w:r>
            <w:proofErr w:type="spellStart"/>
            <w:r w:rsidRPr="001727A0">
              <w:rPr>
                <w:i/>
                <w:iCs/>
                <w:sz w:val="24"/>
                <w:highlight w:val="lightGray"/>
              </w:rPr>
              <w:t>yyyy</w:t>
            </w:r>
            <w:proofErr w:type="spellEnd"/>
            <w:r w:rsidRPr="001727A0">
              <w:rPr>
                <w:sz w:val="24"/>
              </w:rPr>
              <w:t>] –</w:t>
            </w:r>
            <w:r w:rsidR="00884147">
              <w:rPr>
                <w:sz w:val="24"/>
              </w:rPr>
              <w:t xml:space="preserve"> </w:t>
            </w:r>
            <w:r w:rsidRPr="001727A0">
              <w:rPr>
                <w:sz w:val="24"/>
              </w:rPr>
              <w:t>Guaranteed Commercial Operation Date</w:t>
            </w:r>
          </w:p>
        </w:tc>
      </w:tr>
      <w:tr w:rsidR="004123B0" w:rsidRPr="001727A0" w14:paraId="267C7935" w14:textId="77777777" w:rsidTr="00990C30">
        <w:tc>
          <w:tcPr>
            <w:tcW w:w="2070" w:type="dxa"/>
          </w:tcPr>
          <w:p w14:paraId="6DDF549B" w14:textId="0DCC2C4C" w:rsidR="004123B0" w:rsidRDefault="004123B0" w:rsidP="004123B0">
            <w:pPr>
              <w:pStyle w:val="00PlainText"/>
              <w:spacing w:before="120" w:after="120"/>
              <w:ind w:left="90" w:right="90"/>
              <w:jc w:val="left"/>
              <w:rPr>
                <w:b/>
                <w:szCs w:val="22"/>
              </w:rPr>
            </w:pPr>
            <w:r w:rsidRPr="001727A0">
              <w:rPr>
                <w:b/>
                <w:color w:val="282828"/>
                <w:sz w:val="24"/>
              </w:rPr>
              <w:t>Guaranteed Construction Start Date:</w:t>
            </w:r>
          </w:p>
        </w:tc>
        <w:tc>
          <w:tcPr>
            <w:tcW w:w="7290" w:type="dxa"/>
          </w:tcPr>
          <w:p w14:paraId="6CCC1747" w14:textId="40B1CAD3" w:rsidR="004123B0" w:rsidRPr="001727A0" w:rsidRDefault="004123B0" w:rsidP="004123B0">
            <w:pPr>
              <w:spacing w:before="120" w:after="120" w:line="240" w:lineRule="auto"/>
              <w:ind w:left="88" w:right="90"/>
              <w:jc w:val="both"/>
              <w:rPr>
                <w:rFonts w:ascii="Times New Roman" w:hAnsi="Times New Roman"/>
                <w:sz w:val="24"/>
                <w:szCs w:val="24"/>
              </w:rPr>
            </w:pPr>
            <w:r w:rsidRPr="001727A0">
              <w:rPr>
                <w:rFonts w:ascii="Times New Roman" w:hAnsi="Times New Roman"/>
                <w:sz w:val="24"/>
                <w:szCs w:val="24"/>
              </w:rPr>
              <w:t>The “</w:t>
            </w:r>
            <w:r w:rsidRPr="001727A0">
              <w:rPr>
                <w:rFonts w:ascii="Times New Roman" w:hAnsi="Times New Roman"/>
                <w:b/>
                <w:sz w:val="24"/>
                <w:szCs w:val="24"/>
                <w:u w:val="single"/>
              </w:rPr>
              <w:t>Guaranteed Construction Start Date</w:t>
            </w:r>
            <w:r w:rsidRPr="001727A0">
              <w:rPr>
                <w:rFonts w:ascii="Times New Roman" w:hAnsi="Times New Roman"/>
                <w:sz w:val="24"/>
                <w:szCs w:val="24"/>
              </w:rPr>
              <w:t>” or “</w:t>
            </w:r>
            <w:r w:rsidRPr="00CB47AB">
              <w:rPr>
                <w:rFonts w:ascii="Times New Roman" w:hAnsi="Times New Roman"/>
                <w:b/>
                <w:bCs/>
                <w:sz w:val="24"/>
                <w:szCs w:val="24"/>
              </w:rPr>
              <w:t>GCSD</w:t>
            </w:r>
            <w:r w:rsidRPr="001727A0">
              <w:rPr>
                <w:rFonts w:ascii="Times New Roman" w:hAnsi="Times New Roman"/>
                <w:sz w:val="24"/>
                <w:szCs w:val="24"/>
              </w:rPr>
              <w:t>” means [</w:t>
            </w:r>
            <w:r w:rsidRPr="00BC4585">
              <w:rPr>
                <w:rFonts w:ascii="Times New Roman" w:eastAsia="Arial" w:hAnsi="Times New Roman"/>
                <w:i/>
                <w:iCs/>
                <w:color w:val="000000"/>
                <w:sz w:val="24"/>
                <w:szCs w:val="24"/>
                <w:highlight w:val="lightGray"/>
              </w:rPr>
              <w:t>Date]</w:t>
            </w:r>
            <w:r w:rsidR="00884147">
              <w:rPr>
                <w:rFonts w:ascii="Times New Roman" w:eastAsia="Arial" w:hAnsi="Times New Roman"/>
                <w:color w:val="000000"/>
                <w:sz w:val="24"/>
                <w:szCs w:val="24"/>
              </w:rPr>
              <w:t>.</w:t>
            </w:r>
            <w:r w:rsidRPr="001727A0">
              <w:rPr>
                <w:rFonts w:ascii="Times New Roman" w:hAnsi="Times New Roman"/>
                <w:sz w:val="24"/>
                <w:szCs w:val="24"/>
              </w:rPr>
              <w:t xml:space="preserve"> </w:t>
            </w:r>
          </w:p>
          <w:p w14:paraId="6CA5FD6B" w14:textId="2ED9AA86" w:rsidR="004123B0" w:rsidRPr="00CB47AB" w:rsidRDefault="004123B0" w:rsidP="004123B0">
            <w:pPr>
              <w:spacing w:before="120" w:after="120" w:line="240" w:lineRule="auto"/>
              <w:ind w:left="86" w:right="86"/>
              <w:jc w:val="both"/>
              <w:rPr>
                <w:rFonts w:ascii="Times New Roman" w:hAnsi="Times New Roman"/>
                <w:sz w:val="24"/>
                <w:szCs w:val="24"/>
              </w:rPr>
            </w:pPr>
            <w:r>
              <w:rPr>
                <w:rFonts w:ascii="Times New Roman" w:hAnsi="Times New Roman"/>
                <w:sz w:val="24"/>
                <w:szCs w:val="24"/>
              </w:rPr>
              <w:t>T</w:t>
            </w:r>
            <w:r w:rsidRPr="00CB47AB">
              <w:rPr>
                <w:rFonts w:ascii="Times New Roman" w:hAnsi="Times New Roman"/>
                <w:sz w:val="24"/>
                <w:szCs w:val="24"/>
              </w:rPr>
              <w:t>o the extent that Seller has taken all commercially reasonable actions to meet its requirements and deadlines,</w:t>
            </w:r>
            <w:r w:rsidR="00E460C8">
              <w:rPr>
                <w:rFonts w:ascii="Times New Roman" w:hAnsi="Times New Roman"/>
                <w:sz w:val="24"/>
                <w:szCs w:val="24"/>
              </w:rPr>
              <w:t xml:space="preserve"> the GCSD may be extended (</w:t>
            </w:r>
            <w:proofErr w:type="spellStart"/>
            <w:r w:rsidR="00E460C8">
              <w:rPr>
                <w:rFonts w:ascii="Times New Roman" w:hAnsi="Times New Roman"/>
                <w:sz w:val="24"/>
                <w:szCs w:val="24"/>
              </w:rPr>
              <w:t>i</w:t>
            </w:r>
            <w:proofErr w:type="spellEnd"/>
            <w:r w:rsidR="00765147">
              <w:rPr>
                <w:rFonts w:ascii="Times New Roman" w:hAnsi="Times New Roman"/>
                <w:sz w:val="24"/>
                <w:szCs w:val="24"/>
              </w:rPr>
              <w:t>)</w:t>
            </w:r>
            <w:r w:rsidRPr="00CB47AB">
              <w:rPr>
                <w:rFonts w:ascii="Times New Roman" w:hAnsi="Times New Roman"/>
                <w:sz w:val="24"/>
                <w:szCs w:val="24"/>
              </w:rPr>
              <w:t xml:space="preserve"> day-for-day, up to a total of one hundred twenty (120) days on a cumulative basis (the “</w:t>
            </w:r>
            <w:r w:rsidRPr="00CB47AB">
              <w:rPr>
                <w:rFonts w:ascii="Times New Roman" w:hAnsi="Times New Roman"/>
                <w:b/>
                <w:bCs/>
                <w:sz w:val="24"/>
                <w:szCs w:val="24"/>
                <w:u w:val="single"/>
              </w:rPr>
              <w:t>Development Cure Period</w:t>
            </w:r>
            <w:r w:rsidRPr="00CB47AB">
              <w:rPr>
                <w:rFonts w:ascii="Times New Roman" w:hAnsi="Times New Roman"/>
                <w:sz w:val="24"/>
                <w:szCs w:val="24"/>
              </w:rPr>
              <w:t xml:space="preserve">”), for delays arising out of: (a) a Force Majeure Event, (b) the Interconnection Facilities or Reliability Network Upgrades </w:t>
            </w:r>
            <w:r w:rsidR="00733828">
              <w:rPr>
                <w:rFonts w:ascii="Times New Roman" w:hAnsi="Times New Roman"/>
                <w:sz w:val="24"/>
                <w:szCs w:val="24"/>
              </w:rPr>
              <w:t>are</w:t>
            </w:r>
            <w:r w:rsidR="00733828" w:rsidRPr="00CB47AB">
              <w:rPr>
                <w:rFonts w:ascii="Times New Roman" w:hAnsi="Times New Roman"/>
                <w:sz w:val="24"/>
                <w:szCs w:val="24"/>
              </w:rPr>
              <w:t xml:space="preserve"> </w:t>
            </w:r>
            <w:r w:rsidRPr="00CB47AB">
              <w:rPr>
                <w:rFonts w:ascii="Times New Roman" w:hAnsi="Times New Roman"/>
                <w:sz w:val="24"/>
                <w:szCs w:val="24"/>
              </w:rPr>
              <w:t xml:space="preserve">not complete and ready for interconnection of the </w:t>
            </w:r>
            <w:r w:rsidRPr="00CB47AB">
              <w:rPr>
                <w:rFonts w:ascii="Times New Roman" w:hAnsi="Times New Roman"/>
                <w:sz w:val="24"/>
                <w:szCs w:val="24"/>
              </w:rPr>
              <w:lastRenderedPageBreak/>
              <w:t>Facility by the Guaranteed Commercial Operation Date  (“</w:t>
            </w:r>
            <w:r w:rsidRPr="00CB47AB">
              <w:rPr>
                <w:rFonts w:ascii="Times New Roman" w:hAnsi="Times New Roman"/>
                <w:b/>
                <w:bCs/>
                <w:sz w:val="24"/>
                <w:szCs w:val="24"/>
              </w:rPr>
              <w:t>GCOD</w:t>
            </w:r>
            <w:r w:rsidRPr="00CB47AB">
              <w:rPr>
                <w:rFonts w:ascii="Times New Roman" w:hAnsi="Times New Roman"/>
                <w:sz w:val="24"/>
                <w:szCs w:val="24"/>
              </w:rPr>
              <w:t xml:space="preserve">”), or (c)  Buyer has not made all necessary arrangements to receive energy at the Delivery Point by the GCOD. An extension of the Guaranteed Construction </w:t>
            </w:r>
            <w:r w:rsidR="00733828">
              <w:rPr>
                <w:rFonts w:ascii="Times New Roman" w:hAnsi="Times New Roman"/>
                <w:sz w:val="24"/>
                <w:szCs w:val="24"/>
              </w:rPr>
              <w:t>Start</w:t>
            </w:r>
            <w:r w:rsidR="00733828" w:rsidRPr="00CB47AB">
              <w:rPr>
                <w:rFonts w:ascii="Times New Roman" w:hAnsi="Times New Roman"/>
                <w:sz w:val="24"/>
                <w:szCs w:val="24"/>
              </w:rPr>
              <w:t xml:space="preserve"> </w:t>
            </w:r>
            <w:r w:rsidRPr="00CB47AB">
              <w:rPr>
                <w:rFonts w:ascii="Times New Roman" w:hAnsi="Times New Roman"/>
                <w:sz w:val="24"/>
                <w:szCs w:val="24"/>
              </w:rPr>
              <w:t xml:space="preserve">Date due to a Development Cure Period extends both the </w:t>
            </w:r>
            <w:r>
              <w:rPr>
                <w:rFonts w:ascii="Times New Roman" w:hAnsi="Times New Roman"/>
                <w:sz w:val="24"/>
                <w:szCs w:val="24"/>
              </w:rPr>
              <w:t xml:space="preserve">GCSD </w:t>
            </w:r>
            <w:r w:rsidRPr="00CB47AB">
              <w:rPr>
                <w:rFonts w:ascii="Times New Roman" w:hAnsi="Times New Roman"/>
                <w:sz w:val="24"/>
                <w:szCs w:val="24"/>
              </w:rPr>
              <w:t>and the Guaranteed C</w:t>
            </w:r>
            <w:r w:rsidR="008F578D">
              <w:rPr>
                <w:rFonts w:ascii="Times New Roman" w:hAnsi="Times New Roman"/>
                <w:sz w:val="24"/>
                <w:szCs w:val="24"/>
              </w:rPr>
              <w:t xml:space="preserve">ommercial </w:t>
            </w:r>
            <w:r w:rsidRPr="00CB47AB">
              <w:rPr>
                <w:rFonts w:ascii="Times New Roman" w:hAnsi="Times New Roman"/>
                <w:sz w:val="24"/>
                <w:szCs w:val="24"/>
              </w:rPr>
              <w:t>O</w:t>
            </w:r>
            <w:r w:rsidR="008F578D">
              <w:rPr>
                <w:rFonts w:ascii="Times New Roman" w:hAnsi="Times New Roman"/>
                <w:sz w:val="24"/>
                <w:szCs w:val="24"/>
              </w:rPr>
              <w:t xml:space="preserve">peration </w:t>
            </w:r>
            <w:r w:rsidRPr="00CB47AB">
              <w:rPr>
                <w:rFonts w:ascii="Times New Roman" w:hAnsi="Times New Roman"/>
                <w:sz w:val="24"/>
                <w:szCs w:val="24"/>
              </w:rPr>
              <w:t>D</w:t>
            </w:r>
            <w:r w:rsidR="008F578D">
              <w:rPr>
                <w:rFonts w:ascii="Times New Roman" w:hAnsi="Times New Roman"/>
                <w:sz w:val="24"/>
                <w:szCs w:val="24"/>
              </w:rPr>
              <w:t>ate</w:t>
            </w:r>
            <w:r w:rsidRPr="00CB47AB">
              <w:rPr>
                <w:rFonts w:ascii="Times New Roman" w:hAnsi="Times New Roman"/>
                <w:sz w:val="24"/>
                <w:szCs w:val="24"/>
              </w:rPr>
              <w:t xml:space="preserve"> simultaneously; and</w:t>
            </w:r>
          </w:p>
          <w:p w14:paraId="2BBDAC01" w14:textId="7BD9095A" w:rsidR="004123B0" w:rsidRDefault="00765147" w:rsidP="004123B0">
            <w:pPr>
              <w:pStyle w:val="00PlainText"/>
              <w:spacing w:before="120" w:after="120"/>
              <w:ind w:left="90" w:right="90"/>
            </w:pPr>
            <w:r>
              <w:rPr>
                <w:sz w:val="24"/>
              </w:rPr>
              <w:t xml:space="preserve">(ii) </w:t>
            </w:r>
            <w:r w:rsidR="004123B0" w:rsidRPr="00B13DBD">
              <w:rPr>
                <w:sz w:val="24"/>
              </w:rPr>
              <w:t>Seller may pay daily delay damages in the amount of the Development Security divided by one hundred twenty (120) to Buyer in advance (the “</w:t>
            </w:r>
            <w:r w:rsidR="004123B0" w:rsidRPr="00B13DBD">
              <w:rPr>
                <w:b/>
                <w:sz w:val="24"/>
                <w:u w:val="single"/>
              </w:rPr>
              <w:t>Construction Delay Damages</w:t>
            </w:r>
            <w:r w:rsidR="004123B0" w:rsidRPr="00B13DBD">
              <w:rPr>
                <w:sz w:val="24"/>
              </w:rPr>
              <w:t>”) to extend the Guaranteed Construction Start Date by up to one hundred twenty (120) days. Failure to achieve Construction Start on or before the GC</w:t>
            </w:r>
            <w:r w:rsidR="004123B0">
              <w:rPr>
                <w:sz w:val="24"/>
              </w:rPr>
              <w:t>SD</w:t>
            </w:r>
            <w:r w:rsidR="004123B0" w:rsidRPr="00B13DBD">
              <w:rPr>
                <w:sz w:val="24"/>
              </w:rPr>
              <w:t xml:space="preserve">, as such date may be extended pursuant to the PPA, shall constitute an Event of Default.  </w:t>
            </w:r>
          </w:p>
        </w:tc>
      </w:tr>
      <w:tr w:rsidR="004123B0" w:rsidRPr="001727A0" w14:paraId="2293C082" w14:textId="77777777" w:rsidTr="00990C30">
        <w:tc>
          <w:tcPr>
            <w:tcW w:w="2070" w:type="dxa"/>
          </w:tcPr>
          <w:p w14:paraId="1042ADBD" w14:textId="622246BC" w:rsidR="004123B0" w:rsidRDefault="004123B0" w:rsidP="004123B0">
            <w:pPr>
              <w:pStyle w:val="00PlainText"/>
              <w:spacing w:before="120" w:after="120"/>
              <w:ind w:left="90" w:right="90"/>
              <w:jc w:val="left"/>
              <w:rPr>
                <w:b/>
                <w:szCs w:val="22"/>
              </w:rPr>
            </w:pPr>
            <w:r w:rsidRPr="001727A0">
              <w:rPr>
                <w:b/>
                <w:color w:val="282828"/>
                <w:sz w:val="24"/>
              </w:rPr>
              <w:lastRenderedPageBreak/>
              <w:t>Guaranteed Commercial Operation Date (GCOD):</w:t>
            </w:r>
          </w:p>
        </w:tc>
        <w:tc>
          <w:tcPr>
            <w:tcW w:w="7290" w:type="dxa"/>
          </w:tcPr>
          <w:p w14:paraId="7F8FBA31" w14:textId="4A9FAF43" w:rsidR="004123B0" w:rsidRPr="001727A0" w:rsidRDefault="004123B0" w:rsidP="004123B0">
            <w:pPr>
              <w:pStyle w:val="00PlainText"/>
              <w:spacing w:before="120" w:after="120"/>
              <w:ind w:left="88" w:right="90"/>
              <w:rPr>
                <w:sz w:val="24"/>
              </w:rPr>
            </w:pPr>
            <w:r w:rsidRPr="001727A0">
              <w:rPr>
                <w:sz w:val="24"/>
              </w:rPr>
              <w:t>“</w:t>
            </w:r>
            <w:r w:rsidRPr="001727A0">
              <w:rPr>
                <w:b/>
                <w:sz w:val="24"/>
                <w:u w:val="single"/>
              </w:rPr>
              <w:t>Guaranteed Commercial Operation Date</w:t>
            </w:r>
            <w:r w:rsidRPr="001727A0">
              <w:rPr>
                <w:sz w:val="24"/>
              </w:rPr>
              <w:t>” or “</w:t>
            </w:r>
            <w:r w:rsidRPr="001727A0">
              <w:rPr>
                <w:b/>
                <w:sz w:val="24"/>
                <w:u w:val="single"/>
              </w:rPr>
              <w:t>GCOD</w:t>
            </w:r>
            <w:r w:rsidRPr="001727A0">
              <w:rPr>
                <w:sz w:val="24"/>
              </w:rPr>
              <w:t xml:space="preserve">” </w:t>
            </w:r>
            <w:proofErr w:type="gramStart"/>
            <w:r w:rsidRPr="001727A0">
              <w:rPr>
                <w:sz w:val="24"/>
              </w:rPr>
              <w:t>means  [</w:t>
            </w:r>
            <w:proofErr w:type="gramEnd"/>
            <w:r w:rsidRPr="001727A0">
              <w:rPr>
                <w:sz w:val="24"/>
                <w:highlight w:val="lightGray"/>
              </w:rPr>
              <w:t>_______</w:t>
            </w:r>
            <w:r w:rsidRPr="001727A0">
              <w:rPr>
                <w:sz w:val="24"/>
              </w:rPr>
              <w:t>]</w:t>
            </w:r>
            <w:r>
              <w:rPr>
                <w:sz w:val="24"/>
              </w:rPr>
              <w:t xml:space="preserve">. </w:t>
            </w:r>
          </w:p>
          <w:p w14:paraId="7D871E51" w14:textId="03C94491" w:rsidR="004123B0" w:rsidRPr="00FD0C5C" w:rsidRDefault="00411A42" w:rsidP="00FD0C5C">
            <w:pPr>
              <w:pStyle w:val="00PlainText"/>
              <w:spacing w:before="120" w:after="120"/>
              <w:ind w:left="90" w:right="90"/>
              <w:rPr>
                <w:sz w:val="24"/>
              </w:rPr>
            </w:pPr>
            <w:r>
              <w:rPr>
                <w:sz w:val="24"/>
              </w:rPr>
              <w:t>T</w:t>
            </w:r>
            <w:r w:rsidR="004123B0" w:rsidRPr="001727A0">
              <w:rPr>
                <w:sz w:val="24"/>
              </w:rPr>
              <w:t xml:space="preserve">o the extent that Seller has taken all commercially reasonable actions to meet its requirements and deadlines, </w:t>
            </w:r>
            <w:r w:rsidR="00765147">
              <w:rPr>
                <w:sz w:val="24"/>
              </w:rPr>
              <w:t xml:space="preserve">the GCOD may be </w:t>
            </w:r>
            <w:r w:rsidR="004123B0" w:rsidRPr="001727A0">
              <w:rPr>
                <w:sz w:val="24"/>
              </w:rPr>
              <w:t>exten</w:t>
            </w:r>
            <w:r w:rsidR="00765147">
              <w:rPr>
                <w:sz w:val="24"/>
              </w:rPr>
              <w:t>ded</w:t>
            </w:r>
            <w:r w:rsidR="004123B0" w:rsidRPr="001727A0">
              <w:rPr>
                <w:sz w:val="24"/>
              </w:rPr>
              <w:t xml:space="preserve"> on a day-for-day basis</w:t>
            </w:r>
            <w:r w:rsidR="00765147">
              <w:rPr>
                <w:sz w:val="24"/>
              </w:rPr>
              <w:t xml:space="preserve"> </w:t>
            </w:r>
            <w:r w:rsidR="004123B0" w:rsidRPr="001727A0">
              <w:rPr>
                <w:sz w:val="24"/>
              </w:rPr>
              <w:t>under the Development Cure Period;</w:t>
            </w:r>
            <w:r w:rsidR="004123B0" w:rsidRPr="00765147">
              <w:rPr>
                <w:sz w:val="24"/>
              </w:rPr>
              <w:t xml:space="preserve"> and </w:t>
            </w:r>
            <w:r w:rsidR="004123B0" w:rsidRPr="00FD0C5C">
              <w:rPr>
                <w:sz w:val="24"/>
              </w:rPr>
              <w:t>Seller shall have the option to pay daily delay damages in the amount of the Development Security divided by sixty (60) to Buyer in advance (the “</w:t>
            </w:r>
            <w:r w:rsidR="004123B0" w:rsidRPr="00FD0C5C">
              <w:rPr>
                <w:b/>
                <w:bCs/>
                <w:sz w:val="24"/>
                <w:u w:val="single"/>
              </w:rPr>
              <w:t>COD Delay Damages</w:t>
            </w:r>
            <w:r w:rsidR="004123B0" w:rsidRPr="00FD0C5C">
              <w:rPr>
                <w:sz w:val="24"/>
              </w:rPr>
              <w:t xml:space="preserve">”) to extend the Guaranteed Commercial Operation Date by up to sixty (60) days. </w:t>
            </w:r>
          </w:p>
          <w:p w14:paraId="690FEA13" w14:textId="0764950A" w:rsidR="004123B0" w:rsidRDefault="004123B0" w:rsidP="004123B0">
            <w:pPr>
              <w:pStyle w:val="00PlainText"/>
              <w:spacing w:before="120" w:after="120"/>
              <w:ind w:left="90" w:right="90"/>
            </w:pPr>
            <w:r w:rsidRPr="00765147">
              <w:rPr>
                <w:color w:val="000000"/>
                <w:sz w:val="24"/>
              </w:rPr>
              <w:t xml:space="preserve">Failure to achieve COD on or before the GCOD, </w:t>
            </w:r>
            <w:r w:rsidRPr="00765147">
              <w:rPr>
                <w:sz w:val="24"/>
              </w:rPr>
              <w:t>as such date may be extended pursuant to the PPA</w:t>
            </w:r>
            <w:r w:rsidR="006C142C">
              <w:rPr>
                <w:sz w:val="24"/>
              </w:rPr>
              <w:t>,</w:t>
            </w:r>
            <w:r w:rsidRPr="00765147">
              <w:rPr>
                <w:sz w:val="24"/>
              </w:rPr>
              <w:t xml:space="preserve"> is an Event of Default. </w:t>
            </w:r>
            <w:r w:rsidRPr="00765147">
              <w:rPr>
                <w:color w:val="000000"/>
                <w:sz w:val="24"/>
              </w:rPr>
              <w:t xml:space="preserve">  </w:t>
            </w:r>
          </w:p>
        </w:tc>
      </w:tr>
      <w:tr w:rsidR="004123B0" w:rsidRPr="001727A0" w14:paraId="3402133A" w14:textId="77777777" w:rsidTr="00990C30">
        <w:tc>
          <w:tcPr>
            <w:tcW w:w="2070" w:type="dxa"/>
          </w:tcPr>
          <w:p w14:paraId="2EE70600" w14:textId="15985154" w:rsidR="004123B0" w:rsidRDefault="004123B0" w:rsidP="004123B0">
            <w:pPr>
              <w:pStyle w:val="00PlainText"/>
              <w:spacing w:before="120" w:after="120"/>
              <w:ind w:left="90" w:right="90"/>
              <w:jc w:val="left"/>
              <w:rPr>
                <w:b/>
                <w:szCs w:val="22"/>
              </w:rPr>
            </w:pPr>
            <w:r>
              <w:rPr>
                <w:b/>
                <w:sz w:val="24"/>
              </w:rPr>
              <w:t xml:space="preserve">RA Guarantee Date and </w:t>
            </w:r>
            <w:r w:rsidRPr="001727A0">
              <w:rPr>
                <w:b/>
                <w:sz w:val="24"/>
              </w:rPr>
              <w:t>Deliverability:</w:t>
            </w:r>
          </w:p>
        </w:tc>
        <w:tc>
          <w:tcPr>
            <w:tcW w:w="7290" w:type="dxa"/>
          </w:tcPr>
          <w:p w14:paraId="0F74C89A" w14:textId="6000EAF1" w:rsidR="004123B0" w:rsidRDefault="004123B0" w:rsidP="004123B0">
            <w:pPr>
              <w:pStyle w:val="00PlainText"/>
              <w:spacing w:before="120" w:after="120"/>
              <w:ind w:left="90" w:right="90"/>
              <w:rPr>
                <w:sz w:val="24"/>
              </w:rPr>
            </w:pPr>
            <w:r w:rsidRPr="001727A0">
              <w:rPr>
                <w:b/>
                <w:iCs/>
                <w:sz w:val="24"/>
                <w:u w:val="single"/>
              </w:rPr>
              <w:t>RA Guarantee Date</w:t>
            </w:r>
            <w:r w:rsidRPr="001727A0">
              <w:rPr>
                <w:iCs/>
                <w:sz w:val="24"/>
              </w:rPr>
              <w:t xml:space="preserve">” means </w:t>
            </w:r>
            <w:r w:rsidR="006C142C">
              <w:rPr>
                <w:iCs/>
                <w:sz w:val="24"/>
              </w:rPr>
              <w:t xml:space="preserve">the </w:t>
            </w:r>
            <w:r w:rsidRPr="001727A0">
              <w:rPr>
                <w:sz w:val="24"/>
              </w:rPr>
              <w:t>Commercial Operation Date.</w:t>
            </w:r>
          </w:p>
          <w:p w14:paraId="6FDE08BC" w14:textId="0E40818F" w:rsidR="004123B0" w:rsidRDefault="004123B0" w:rsidP="004123B0">
            <w:pPr>
              <w:pStyle w:val="00PlainText"/>
              <w:spacing w:before="120" w:after="120"/>
              <w:ind w:left="90" w:right="90"/>
            </w:pPr>
            <w:r w:rsidRPr="001727A0">
              <w:rPr>
                <w:sz w:val="24"/>
              </w:rPr>
              <w:t>The Facility shall have Full Capacity Deliverability Status in the amount of the Contract Capacity by the Commercial Operation Date</w:t>
            </w:r>
            <w:r>
              <w:rPr>
                <w:sz w:val="24"/>
              </w:rPr>
              <w:t xml:space="preserve">. </w:t>
            </w:r>
            <w:r w:rsidRPr="003E334F">
              <w:rPr>
                <w:sz w:val="24"/>
              </w:rPr>
              <w:t>Seller shall ensure that throughout the Delivery Term (a) the Facility will have an Interconnection Agreement providing for interconnection capacity available or allocable to the Facility that is no less than the Dedicated Interconnection Capacity and (b) Seller shall have sufficient interconnection capacity and rights under such Interconnection Agreement to interconnect the Facility with the CAISO-controlled grid, to fulfill Seller’s obligations under the Agreement, including with respect to Resource Adequacy, and to allow Buyer’s dispatch rights for the Facility to be fully reflected in the CAISO’s market optimization and not result in CAISO market awards that are not physically feasible.</w:t>
            </w:r>
            <w:r w:rsidRPr="0056119D">
              <w:t xml:space="preserve">  </w:t>
            </w:r>
          </w:p>
        </w:tc>
      </w:tr>
      <w:tr w:rsidR="004123B0" w:rsidRPr="001727A0" w14:paraId="05933816" w14:textId="0891E91A" w:rsidTr="00990C30">
        <w:tc>
          <w:tcPr>
            <w:tcW w:w="2070" w:type="dxa"/>
          </w:tcPr>
          <w:p w14:paraId="64576DA6" w14:textId="77777777" w:rsidR="004123B0" w:rsidRPr="001727A0" w:rsidRDefault="004123B0" w:rsidP="004123B0">
            <w:pPr>
              <w:pStyle w:val="00PlainText"/>
              <w:spacing w:before="120" w:after="120"/>
              <w:ind w:left="90" w:right="90"/>
              <w:jc w:val="left"/>
              <w:rPr>
                <w:b/>
                <w:color w:val="282828"/>
                <w:sz w:val="24"/>
              </w:rPr>
            </w:pPr>
            <w:r w:rsidRPr="001727A0">
              <w:rPr>
                <w:b/>
                <w:color w:val="282828"/>
                <w:sz w:val="24"/>
              </w:rPr>
              <w:t>Environmental Attributes:</w:t>
            </w:r>
          </w:p>
          <w:p w14:paraId="3D0E7D39" w14:textId="77777777" w:rsidR="004123B0" w:rsidRPr="001727A0" w:rsidRDefault="004123B0" w:rsidP="004123B0">
            <w:pPr>
              <w:spacing w:before="120" w:after="120" w:line="240" w:lineRule="auto"/>
              <w:ind w:left="90" w:right="90"/>
              <w:rPr>
                <w:rFonts w:ascii="Times New Roman" w:hAnsi="Times New Roman"/>
                <w:b/>
                <w:color w:val="282828"/>
                <w:sz w:val="24"/>
                <w:szCs w:val="24"/>
              </w:rPr>
            </w:pPr>
          </w:p>
        </w:tc>
        <w:tc>
          <w:tcPr>
            <w:tcW w:w="7290" w:type="dxa"/>
          </w:tcPr>
          <w:p w14:paraId="301F6390" w14:textId="6B137587" w:rsidR="004123B0" w:rsidRPr="001727A0" w:rsidRDefault="004123B0" w:rsidP="004123B0">
            <w:pPr>
              <w:pStyle w:val="00PlainText"/>
              <w:spacing w:before="120" w:after="120"/>
              <w:ind w:left="90" w:right="90"/>
              <w:rPr>
                <w:sz w:val="24"/>
              </w:rPr>
            </w:pPr>
            <w:r w:rsidRPr="001727A0">
              <w:rPr>
                <w:sz w:val="24"/>
              </w:rPr>
              <w:t>Buyer shall be entitled to renewable energy credits (“</w:t>
            </w:r>
            <w:r w:rsidRPr="001727A0">
              <w:rPr>
                <w:b/>
                <w:bCs/>
                <w:sz w:val="24"/>
                <w:u w:val="single"/>
              </w:rPr>
              <w:t>RECs</w:t>
            </w:r>
            <w:r w:rsidRPr="001727A0">
              <w:rPr>
                <w:sz w:val="24"/>
              </w:rPr>
              <w:t>”) and any other environmental attributes associated with Facility Energy.  Seller shall transfer RECs associated with the generation from the Facility for each month via WREGIS pursuant to the timelines in the WREGIS Operating Rules.</w:t>
            </w:r>
          </w:p>
          <w:p w14:paraId="6FE6D556" w14:textId="5B582A2B" w:rsidR="004123B0" w:rsidRPr="001727A0" w:rsidRDefault="004123B0" w:rsidP="004123B0">
            <w:pPr>
              <w:pStyle w:val="00PlainText"/>
              <w:spacing w:before="120" w:after="120"/>
              <w:ind w:left="90" w:right="90"/>
              <w:rPr>
                <w:sz w:val="24"/>
              </w:rPr>
            </w:pPr>
            <w:r w:rsidRPr="001727A0">
              <w:rPr>
                <w:sz w:val="24"/>
              </w:rPr>
              <w:lastRenderedPageBreak/>
              <w:t xml:space="preserve">Each </w:t>
            </w:r>
            <w:r w:rsidR="00D824F3">
              <w:rPr>
                <w:sz w:val="24"/>
              </w:rPr>
              <w:t>P</w:t>
            </w:r>
            <w:r w:rsidRPr="001727A0">
              <w:rPr>
                <w:sz w:val="24"/>
              </w:rPr>
              <w:t xml:space="preserve">arty shall be responsible for setting up an account with WREGIS. </w:t>
            </w:r>
          </w:p>
        </w:tc>
      </w:tr>
      <w:tr w:rsidR="004123B0" w:rsidRPr="001727A0" w14:paraId="7637555B" w14:textId="3F89AC74" w:rsidTr="00990C30">
        <w:tc>
          <w:tcPr>
            <w:tcW w:w="2070" w:type="dxa"/>
          </w:tcPr>
          <w:p w14:paraId="0E9AC756" w14:textId="6490B43A" w:rsidR="004123B0" w:rsidRPr="001727A0" w:rsidRDefault="004123B0" w:rsidP="004123B0">
            <w:pPr>
              <w:spacing w:before="120" w:after="120" w:line="240" w:lineRule="auto"/>
              <w:ind w:left="90" w:right="90"/>
              <w:rPr>
                <w:rFonts w:ascii="Times New Roman" w:hAnsi="Times New Roman"/>
                <w:b/>
                <w:color w:val="282828"/>
                <w:sz w:val="24"/>
                <w:szCs w:val="24"/>
              </w:rPr>
            </w:pPr>
            <w:r w:rsidRPr="001727A0">
              <w:rPr>
                <w:rFonts w:ascii="Times New Roman" w:hAnsi="Times New Roman"/>
                <w:b/>
                <w:color w:val="282828"/>
                <w:sz w:val="24"/>
                <w:szCs w:val="24"/>
              </w:rPr>
              <w:lastRenderedPageBreak/>
              <w:t>Expected Energy:</w:t>
            </w:r>
          </w:p>
        </w:tc>
        <w:tc>
          <w:tcPr>
            <w:tcW w:w="7290" w:type="dxa"/>
          </w:tcPr>
          <w:p w14:paraId="62DDE8C2" w14:textId="5578A10B" w:rsidR="004123B0" w:rsidRPr="001727A0" w:rsidRDefault="004123B0" w:rsidP="004123B0">
            <w:pPr>
              <w:pStyle w:val="00PlainText"/>
              <w:spacing w:before="120" w:after="120"/>
              <w:ind w:left="90" w:right="90"/>
              <w:rPr>
                <w:sz w:val="24"/>
              </w:rPr>
            </w:pPr>
            <w:r w:rsidRPr="001727A0">
              <w:rPr>
                <w:bCs/>
                <w:sz w:val="24"/>
              </w:rPr>
              <w:t>“</w:t>
            </w:r>
            <w:r w:rsidRPr="001727A0">
              <w:rPr>
                <w:b/>
                <w:sz w:val="24"/>
                <w:u w:val="single"/>
              </w:rPr>
              <w:t>Expected Energy</w:t>
            </w:r>
            <w:r w:rsidRPr="001727A0">
              <w:rPr>
                <w:bCs/>
                <w:sz w:val="24"/>
              </w:rPr>
              <w:t>”</w:t>
            </w:r>
            <w:r w:rsidRPr="001727A0">
              <w:rPr>
                <w:sz w:val="24"/>
              </w:rPr>
              <w:t xml:space="preserve"> means</w:t>
            </w:r>
            <w:r w:rsidRPr="001727A0">
              <w:rPr>
                <w:b/>
                <w:bCs/>
                <w:sz w:val="24"/>
              </w:rPr>
              <w:t xml:space="preserve"> </w:t>
            </w:r>
            <w:r w:rsidRPr="001727A0">
              <w:rPr>
                <w:sz w:val="24"/>
              </w:rPr>
              <w:t>[</w:t>
            </w:r>
            <w:r w:rsidRPr="001727A0">
              <w:rPr>
                <w:bCs/>
                <w:sz w:val="24"/>
                <w:highlight w:val="lightGray"/>
              </w:rPr>
              <w:t>____</w:t>
            </w:r>
            <w:r w:rsidRPr="001727A0">
              <w:rPr>
                <w:sz w:val="24"/>
              </w:rPr>
              <w:t>] MWh during the first Contract Year</w:t>
            </w:r>
            <w:r w:rsidRPr="001727A0" w:rsidDel="00245294">
              <w:rPr>
                <w:sz w:val="24"/>
              </w:rPr>
              <w:t xml:space="preserve"> </w:t>
            </w:r>
            <w:r w:rsidRPr="001727A0">
              <w:rPr>
                <w:sz w:val="24"/>
              </w:rPr>
              <w:t>and for each subsequent Contract Year thereafter during the Delivery Term, subject to [</w:t>
            </w:r>
            <w:r w:rsidRPr="001727A0">
              <w:rPr>
                <w:bCs/>
                <w:sz w:val="24"/>
                <w:highlight w:val="lightGray"/>
              </w:rPr>
              <w:t>_</w:t>
            </w:r>
            <w:proofErr w:type="gramStart"/>
            <w:r w:rsidRPr="001727A0">
              <w:rPr>
                <w:bCs/>
                <w:sz w:val="24"/>
                <w:highlight w:val="lightGray"/>
              </w:rPr>
              <w:t>_</w:t>
            </w:r>
            <w:r w:rsidRPr="001727A0">
              <w:rPr>
                <w:bCs/>
                <w:sz w:val="24"/>
              </w:rPr>
              <w:t>]%</w:t>
            </w:r>
            <w:proofErr w:type="gramEnd"/>
            <w:r w:rsidRPr="001727A0">
              <w:rPr>
                <w:bCs/>
                <w:sz w:val="24"/>
              </w:rPr>
              <w:t xml:space="preserve"> degradation per Contract Year</w:t>
            </w:r>
            <w:r w:rsidRPr="001727A0">
              <w:rPr>
                <w:sz w:val="24"/>
              </w:rPr>
              <w:t xml:space="preserve">.  </w:t>
            </w:r>
          </w:p>
        </w:tc>
      </w:tr>
      <w:tr w:rsidR="004123B0" w:rsidRPr="001727A0" w14:paraId="43B7C045" w14:textId="4A2659FD" w:rsidTr="00990C30">
        <w:tc>
          <w:tcPr>
            <w:tcW w:w="2070" w:type="dxa"/>
          </w:tcPr>
          <w:p w14:paraId="145E4908" w14:textId="77777777" w:rsidR="004123B0" w:rsidRPr="001727A0" w:rsidRDefault="004123B0" w:rsidP="004123B0">
            <w:pPr>
              <w:spacing w:before="120" w:after="120" w:line="240" w:lineRule="auto"/>
              <w:ind w:left="90" w:right="90"/>
              <w:rPr>
                <w:rFonts w:ascii="Times New Roman" w:hAnsi="Times New Roman"/>
                <w:b/>
                <w:color w:val="282828"/>
                <w:sz w:val="24"/>
                <w:szCs w:val="24"/>
              </w:rPr>
            </w:pPr>
            <w:r w:rsidRPr="001727A0">
              <w:rPr>
                <w:rFonts w:ascii="Times New Roman" w:hAnsi="Times New Roman"/>
                <w:b/>
                <w:color w:val="282828"/>
                <w:sz w:val="24"/>
                <w:szCs w:val="24"/>
              </w:rPr>
              <w:t>Guaranteed Energy Production:</w:t>
            </w:r>
          </w:p>
          <w:p w14:paraId="5DBEA0BB" w14:textId="77777777" w:rsidR="004123B0" w:rsidRPr="001727A0" w:rsidRDefault="004123B0" w:rsidP="004123B0">
            <w:pPr>
              <w:spacing w:before="120" w:after="120" w:line="240" w:lineRule="auto"/>
              <w:ind w:left="90" w:right="90"/>
              <w:rPr>
                <w:rFonts w:ascii="Times New Roman" w:hAnsi="Times New Roman"/>
                <w:b/>
                <w:color w:val="282828"/>
                <w:sz w:val="24"/>
                <w:szCs w:val="24"/>
              </w:rPr>
            </w:pPr>
          </w:p>
        </w:tc>
        <w:tc>
          <w:tcPr>
            <w:tcW w:w="7290" w:type="dxa"/>
          </w:tcPr>
          <w:p w14:paraId="002477F9" w14:textId="77777777" w:rsidR="004123B0" w:rsidRPr="001727A0" w:rsidRDefault="004123B0" w:rsidP="004123B0">
            <w:pPr>
              <w:spacing w:before="120" w:after="120" w:line="240" w:lineRule="auto"/>
              <w:ind w:left="88" w:right="90"/>
              <w:jc w:val="both"/>
              <w:outlineLvl w:val="3"/>
              <w:rPr>
                <w:rFonts w:ascii="Times New Roman" w:hAnsi="Times New Roman"/>
                <w:sz w:val="24"/>
                <w:szCs w:val="24"/>
              </w:rPr>
            </w:pPr>
            <w:r w:rsidRPr="001727A0">
              <w:rPr>
                <w:rFonts w:ascii="Times New Roman" w:hAnsi="Times New Roman"/>
                <w:sz w:val="24"/>
                <w:szCs w:val="24"/>
              </w:rPr>
              <w:t xml:space="preserve">Seller </w:t>
            </w:r>
            <w:r w:rsidRPr="001727A0">
              <w:rPr>
                <w:rFonts w:ascii="Times New Roman" w:hAnsi="Times New Roman"/>
                <w:color w:val="000000" w:themeColor="text1"/>
                <w:sz w:val="24"/>
                <w:szCs w:val="24"/>
              </w:rPr>
              <w:t>shall deliver to Buyer no less than the Guaranteed Energy Production in each Performance Measurement Period</w:t>
            </w:r>
            <w:r w:rsidRPr="001727A0">
              <w:rPr>
                <w:rFonts w:ascii="Times New Roman" w:hAnsi="Times New Roman"/>
                <w:sz w:val="24"/>
                <w:szCs w:val="24"/>
              </w:rPr>
              <w:t>.</w:t>
            </w:r>
          </w:p>
          <w:p w14:paraId="121B4A8D" w14:textId="74C56ACB" w:rsidR="004123B0" w:rsidRPr="001727A0" w:rsidRDefault="004123B0" w:rsidP="004123B0">
            <w:pPr>
              <w:spacing w:before="120" w:after="120" w:line="240" w:lineRule="auto"/>
              <w:ind w:left="88" w:right="90"/>
              <w:jc w:val="both"/>
              <w:outlineLvl w:val="3"/>
              <w:rPr>
                <w:rFonts w:ascii="Times New Roman" w:hAnsi="Times New Roman"/>
                <w:sz w:val="24"/>
                <w:szCs w:val="24"/>
              </w:rPr>
            </w:pPr>
            <w:r w:rsidRPr="001727A0">
              <w:rPr>
                <w:rFonts w:ascii="Times New Roman" w:hAnsi="Times New Roman"/>
                <w:sz w:val="24"/>
                <w:szCs w:val="24"/>
              </w:rPr>
              <w:t>The “</w:t>
            </w:r>
            <w:r w:rsidRPr="001727A0">
              <w:rPr>
                <w:rFonts w:ascii="Times New Roman" w:hAnsi="Times New Roman"/>
                <w:b/>
                <w:bCs/>
                <w:color w:val="000000" w:themeColor="text1"/>
                <w:sz w:val="24"/>
                <w:szCs w:val="24"/>
                <w:u w:val="single"/>
              </w:rPr>
              <w:t>Guaranteed Energy Production or GEP</w:t>
            </w:r>
            <w:r w:rsidRPr="001727A0">
              <w:rPr>
                <w:rFonts w:ascii="Times New Roman" w:hAnsi="Times New Roman"/>
                <w:sz w:val="24"/>
                <w:szCs w:val="24"/>
              </w:rPr>
              <w:t xml:space="preserve">” </w:t>
            </w:r>
            <w:r w:rsidRPr="001727A0">
              <w:rPr>
                <w:rFonts w:ascii="Times New Roman" w:hAnsi="Times New Roman"/>
                <w:color w:val="000000" w:themeColor="text1"/>
                <w:sz w:val="24"/>
                <w:szCs w:val="24"/>
              </w:rPr>
              <w:t>means an amount of Facility Energy, as measured in MWh, equal to the total Expected Energy for the applicable Performance Measurement Period</w:t>
            </w:r>
            <w:r w:rsidRPr="001727A0">
              <w:rPr>
                <w:rFonts w:ascii="Times New Roman" w:hAnsi="Times New Roman"/>
                <w:sz w:val="24"/>
                <w:szCs w:val="24"/>
              </w:rPr>
              <w:t xml:space="preserve"> multiplied by </w:t>
            </w:r>
            <w:r w:rsidR="00F12479">
              <w:rPr>
                <w:rFonts w:ascii="Times New Roman" w:hAnsi="Times New Roman"/>
                <w:sz w:val="24"/>
                <w:szCs w:val="24"/>
              </w:rPr>
              <w:t>ninety-five (95%)</w:t>
            </w:r>
            <w:r w:rsidR="0057521A">
              <w:rPr>
                <w:rFonts w:ascii="Times New Roman" w:hAnsi="Times New Roman"/>
                <w:sz w:val="24"/>
                <w:szCs w:val="24"/>
              </w:rPr>
              <w:t>.</w:t>
            </w:r>
          </w:p>
          <w:p w14:paraId="6223EC1E" w14:textId="221926A6" w:rsidR="004123B0" w:rsidRPr="001727A0" w:rsidRDefault="004123B0" w:rsidP="004123B0">
            <w:pPr>
              <w:spacing w:before="120" w:after="120" w:line="240" w:lineRule="auto"/>
              <w:ind w:left="88" w:right="90"/>
              <w:jc w:val="both"/>
              <w:rPr>
                <w:rFonts w:ascii="Times New Roman" w:hAnsi="Times New Roman"/>
                <w:sz w:val="24"/>
                <w:szCs w:val="24"/>
              </w:rPr>
            </w:pPr>
            <w:r w:rsidRPr="001727A0">
              <w:rPr>
                <w:rFonts w:ascii="Times New Roman" w:hAnsi="Times New Roman"/>
                <w:sz w:val="24"/>
                <w:szCs w:val="24"/>
              </w:rPr>
              <w:t>The “</w:t>
            </w:r>
            <w:r w:rsidRPr="001727A0">
              <w:rPr>
                <w:rFonts w:ascii="Times New Roman" w:hAnsi="Times New Roman"/>
                <w:b/>
                <w:bCs/>
                <w:sz w:val="24"/>
                <w:szCs w:val="24"/>
                <w:u w:val="single"/>
              </w:rPr>
              <w:t>Performance Measurement Period</w:t>
            </w:r>
            <w:r w:rsidRPr="001727A0">
              <w:rPr>
                <w:rFonts w:ascii="Times New Roman" w:hAnsi="Times New Roman"/>
                <w:sz w:val="24"/>
                <w:szCs w:val="24"/>
              </w:rPr>
              <w:t xml:space="preserve">” shall be each </w:t>
            </w:r>
            <w:r w:rsidRPr="001727A0">
              <w:rPr>
                <w:rFonts w:ascii="Times New Roman" w:hAnsi="Times New Roman"/>
                <w:color w:val="000000" w:themeColor="text1"/>
                <w:sz w:val="24"/>
                <w:szCs w:val="24"/>
              </w:rPr>
              <w:t>two (2) consecutive Contract Year period during the Delivery Term</w:t>
            </w:r>
            <w:r w:rsidRPr="001727A0">
              <w:rPr>
                <w:rFonts w:ascii="Times New Roman" w:hAnsi="Times New Roman"/>
                <w:sz w:val="24"/>
                <w:szCs w:val="24"/>
              </w:rPr>
              <w:t xml:space="preserve">, calculated on a rolling basis.  </w:t>
            </w:r>
          </w:p>
          <w:p w14:paraId="17261A96" w14:textId="7B05557E" w:rsidR="004123B0" w:rsidRPr="001727A0" w:rsidRDefault="004123B0" w:rsidP="004123B0">
            <w:pPr>
              <w:spacing w:before="120" w:after="120" w:line="240" w:lineRule="auto"/>
              <w:ind w:left="88" w:right="90"/>
              <w:jc w:val="both"/>
              <w:rPr>
                <w:rFonts w:ascii="Times New Roman" w:hAnsi="Times New Roman"/>
                <w:color w:val="000000" w:themeColor="text1"/>
                <w:sz w:val="24"/>
                <w:szCs w:val="24"/>
              </w:rPr>
            </w:pPr>
            <w:r w:rsidRPr="001727A0">
              <w:rPr>
                <w:rFonts w:ascii="Times New Roman" w:hAnsi="Times New Roman"/>
                <w:color w:val="000000" w:themeColor="text1"/>
                <w:sz w:val="24"/>
                <w:szCs w:val="24"/>
              </w:rPr>
              <w:t>For purposes of determining whether Seller has achieved the Guaranteed Energy Production, Seller shall be deemed to have delivered to Buyer (</w:t>
            </w:r>
            <w:proofErr w:type="spellStart"/>
            <w:r w:rsidRPr="001727A0">
              <w:rPr>
                <w:rFonts w:ascii="Times New Roman" w:hAnsi="Times New Roman"/>
                <w:color w:val="000000" w:themeColor="text1"/>
                <w:sz w:val="24"/>
                <w:szCs w:val="24"/>
              </w:rPr>
              <w:t>i</w:t>
            </w:r>
            <w:proofErr w:type="spellEnd"/>
            <w:r w:rsidRPr="001727A0">
              <w:rPr>
                <w:rFonts w:ascii="Times New Roman" w:hAnsi="Times New Roman"/>
                <w:color w:val="000000" w:themeColor="text1"/>
                <w:sz w:val="24"/>
                <w:szCs w:val="24"/>
              </w:rPr>
              <w:t>) any Deemed Delivered Energy and (ii) the amount of Energy that would have been delivered but for Force Majeure Events, Curtailments, System Emergencies or Buyer Default.</w:t>
            </w:r>
          </w:p>
          <w:p w14:paraId="75291280" w14:textId="6E79CE03" w:rsidR="004123B0" w:rsidRPr="001727A0" w:rsidRDefault="004123B0" w:rsidP="004123B0">
            <w:pPr>
              <w:pStyle w:val="00PlainText"/>
              <w:spacing w:before="120" w:after="120"/>
              <w:ind w:left="88" w:right="90"/>
              <w:rPr>
                <w:sz w:val="24"/>
              </w:rPr>
            </w:pPr>
            <w:r w:rsidRPr="001727A0">
              <w:rPr>
                <w:sz w:val="24"/>
              </w:rPr>
              <w:t xml:space="preserve">If Seller fails to achieve the GEP during any Performance Measurement Period, Seller shall </w:t>
            </w:r>
            <w:proofErr w:type="gramStart"/>
            <w:r w:rsidRPr="001727A0">
              <w:rPr>
                <w:sz w:val="24"/>
              </w:rPr>
              <w:t>pay to Buyer</w:t>
            </w:r>
            <w:proofErr w:type="gramEnd"/>
            <w:r w:rsidRPr="001727A0">
              <w:rPr>
                <w:sz w:val="24"/>
              </w:rPr>
              <w:t xml:space="preserve"> liquidated damages calculated as the replacement price for energy plus Green Attributes multiplied by the GEP shortfall.</w:t>
            </w:r>
            <w:r>
              <w:rPr>
                <w:sz w:val="24"/>
              </w:rPr>
              <w:t xml:space="preserve"> </w:t>
            </w:r>
            <w:r w:rsidRPr="001727A0">
              <w:rPr>
                <w:sz w:val="24"/>
              </w:rPr>
              <w:t xml:space="preserve"> As an alternative to paying GEP liquidated damages, Seller may, with the prior consent of Buyer, provide Replacement Product in an amount not to exceed </w:t>
            </w:r>
            <w:r>
              <w:rPr>
                <w:sz w:val="24"/>
              </w:rPr>
              <w:t>[</w:t>
            </w:r>
            <w:r w:rsidR="0057521A">
              <w:rPr>
                <w:sz w:val="24"/>
              </w:rPr>
              <w:t>_</w:t>
            </w:r>
            <w:proofErr w:type="gramStart"/>
            <w:r w:rsidR="0057521A">
              <w:rPr>
                <w:sz w:val="24"/>
              </w:rPr>
              <w:t>_</w:t>
            </w:r>
            <w:r>
              <w:rPr>
                <w:sz w:val="24"/>
              </w:rPr>
              <w:t>]</w:t>
            </w:r>
            <w:r w:rsidR="0057521A">
              <w:rPr>
                <w:sz w:val="24"/>
              </w:rPr>
              <w:t>%</w:t>
            </w:r>
            <w:proofErr w:type="gramEnd"/>
            <w:r w:rsidRPr="001727A0">
              <w:rPr>
                <w:sz w:val="24"/>
              </w:rPr>
              <w:t xml:space="preserve"> of the Expected Energy for the previous Contract Year. </w:t>
            </w:r>
          </w:p>
        </w:tc>
      </w:tr>
      <w:tr w:rsidR="004123B0" w:rsidRPr="001727A0" w14:paraId="238D21E7" w14:textId="77777777" w:rsidTr="00990C30">
        <w:tc>
          <w:tcPr>
            <w:tcW w:w="2070" w:type="dxa"/>
          </w:tcPr>
          <w:p w14:paraId="1A10A4B8" w14:textId="19F5BC25" w:rsidR="004123B0" w:rsidRPr="001727A0" w:rsidRDefault="004123B0" w:rsidP="004123B0">
            <w:pPr>
              <w:spacing w:before="120" w:after="120" w:line="240" w:lineRule="auto"/>
              <w:ind w:left="90" w:right="90"/>
              <w:rPr>
                <w:rFonts w:ascii="Times New Roman" w:hAnsi="Times New Roman"/>
                <w:b/>
                <w:color w:val="282828"/>
                <w:sz w:val="24"/>
                <w:szCs w:val="24"/>
              </w:rPr>
            </w:pPr>
            <w:r w:rsidRPr="001727A0">
              <w:rPr>
                <w:rFonts w:ascii="Times New Roman" w:hAnsi="Times New Roman"/>
                <w:b/>
                <w:sz w:val="24"/>
                <w:szCs w:val="24"/>
              </w:rPr>
              <w:t>Guaranteed RA Amount:</w:t>
            </w:r>
          </w:p>
        </w:tc>
        <w:tc>
          <w:tcPr>
            <w:tcW w:w="7290" w:type="dxa"/>
          </w:tcPr>
          <w:p w14:paraId="2DD24CFB" w14:textId="3FF39030" w:rsidR="00F060B4" w:rsidRPr="00F060B4" w:rsidRDefault="00F060B4" w:rsidP="00990C30">
            <w:pPr>
              <w:ind w:left="90" w:right="91"/>
              <w:jc w:val="both"/>
              <w:rPr>
                <w:rFonts w:ascii="Times New Roman" w:hAnsi="Times New Roman"/>
                <w:sz w:val="24"/>
                <w:szCs w:val="24"/>
              </w:rPr>
            </w:pPr>
            <w:r w:rsidRPr="00990C30">
              <w:rPr>
                <w:rFonts w:ascii="Times New Roman" w:hAnsi="Times New Roman"/>
                <w:sz w:val="24"/>
                <w:szCs w:val="24"/>
              </w:rPr>
              <w:t>“</w:t>
            </w:r>
            <w:r w:rsidRPr="00990C30">
              <w:rPr>
                <w:rFonts w:ascii="Times New Roman" w:hAnsi="Times New Roman"/>
                <w:b/>
                <w:bCs/>
                <w:sz w:val="24"/>
                <w:szCs w:val="24"/>
                <w:u w:val="single"/>
              </w:rPr>
              <w:t>Guaranteed RA Amount</w:t>
            </w:r>
            <w:r w:rsidRPr="00990C30">
              <w:rPr>
                <w:rFonts w:ascii="Times New Roman" w:hAnsi="Times New Roman"/>
                <w:sz w:val="24"/>
                <w:szCs w:val="24"/>
              </w:rPr>
              <w:t>” means,</w:t>
            </w:r>
            <w:r w:rsidRPr="00990C30">
              <w:rPr>
                <w:rFonts w:ascii="Times New Roman" w:eastAsia="SimSun" w:hAnsi="Times New Roman"/>
                <w:sz w:val="24"/>
                <w:szCs w:val="24"/>
              </w:rPr>
              <w:t xml:space="preserve"> for any Showing Month,</w:t>
            </w:r>
            <w:r w:rsidRPr="00990C30">
              <w:rPr>
                <w:rFonts w:ascii="Times New Roman" w:hAnsi="Times New Roman"/>
                <w:sz w:val="24"/>
                <w:szCs w:val="24"/>
              </w:rPr>
              <w:t xml:space="preserve"> an amount of Qualifying Capacity, expressed in MW, equal to the Installed Capacity of the Facility, </w:t>
            </w:r>
            <w:r w:rsidRPr="00990C30">
              <w:rPr>
                <w:rFonts w:ascii="Times New Roman" w:hAnsi="Times New Roman"/>
                <w:i/>
                <w:iCs/>
                <w:sz w:val="24"/>
                <w:szCs w:val="24"/>
              </w:rPr>
              <w:t>minus</w:t>
            </w:r>
            <w:r w:rsidRPr="00990C30">
              <w:rPr>
                <w:rFonts w:ascii="Times New Roman" w:hAnsi="Times New Roman"/>
                <w:sz w:val="24"/>
                <w:szCs w:val="24"/>
              </w:rPr>
              <w:t xml:space="preserve"> Administrative NQC Reduction in the applicable Showing Month.</w:t>
            </w:r>
          </w:p>
          <w:p w14:paraId="03B2F732" w14:textId="3DCE3816" w:rsidR="003E334F" w:rsidRDefault="003E334F" w:rsidP="003E334F">
            <w:pPr>
              <w:pStyle w:val="00PlainText"/>
              <w:spacing w:before="120" w:after="120"/>
              <w:ind w:left="85" w:right="86"/>
              <w:rPr>
                <w:sz w:val="24"/>
              </w:rPr>
            </w:pPr>
            <w:r>
              <w:t>“</w:t>
            </w:r>
            <w:r w:rsidRPr="00990C30">
              <w:rPr>
                <w:b/>
                <w:bCs/>
                <w:sz w:val="24"/>
                <w:u w:val="single"/>
              </w:rPr>
              <w:t>Maximum Hourly RA Capacity</w:t>
            </w:r>
            <w:r w:rsidRPr="00990C30">
              <w:rPr>
                <w:sz w:val="24"/>
              </w:rPr>
              <w:t xml:space="preserve">” means, </w:t>
            </w:r>
            <w:r w:rsidRPr="00990C30">
              <w:rPr>
                <w:rFonts w:eastAsia="SimSun" w:cs="Calibri"/>
                <w:sz w:val="24"/>
              </w:rPr>
              <w:t>for any Showing Month, the highest hourly quantity of Qualifying Capacity for the Facility in such Showing Month.</w:t>
            </w:r>
          </w:p>
          <w:p w14:paraId="0B8BE99C" w14:textId="27281E25" w:rsidR="004123B0" w:rsidRPr="001727A0" w:rsidRDefault="004123B0" w:rsidP="00BD7917">
            <w:pPr>
              <w:pStyle w:val="00PlainText"/>
              <w:spacing w:before="120" w:after="120"/>
              <w:ind w:left="85" w:right="86"/>
              <w:rPr>
                <w:sz w:val="24"/>
              </w:rPr>
            </w:pPr>
            <w:r w:rsidRPr="003E334F">
              <w:rPr>
                <w:sz w:val="24"/>
              </w:rPr>
              <w:t>“</w:t>
            </w:r>
            <w:r w:rsidRPr="003E334F">
              <w:rPr>
                <w:b/>
                <w:bCs/>
                <w:sz w:val="24"/>
                <w:u w:val="single"/>
              </w:rPr>
              <w:t>Administrative NQC Reduction</w:t>
            </w:r>
            <w:r w:rsidRPr="003E334F">
              <w:rPr>
                <w:sz w:val="24"/>
              </w:rPr>
              <w:t xml:space="preserve">” </w:t>
            </w:r>
            <w:r w:rsidRPr="003E334F">
              <w:rPr>
                <w:color w:val="212121"/>
                <w:sz w:val="24"/>
              </w:rPr>
              <w:t xml:space="preserve">means a reduction in the maximum achievable Net Qualifying Capacity of the Facility </w:t>
            </w:r>
            <w:r w:rsidRPr="003E334F">
              <w:rPr>
                <w:color w:val="000000" w:themeColor="text1"/>
                <w:sz w:val="24"/>
              </w:rPr>
              <w:t>that cannot be avoided by and is beyond the reasonable control of and without the fault or negligence of Seller</w:t>
            </w:r>
            <w:r w:rsidRPr="003E334F" w:rsidDel="006C0A13">
              <w:rPr>
                <w:color w:val="212121"/>
                <w:sz w:val="24"/>
              </w:rPr>
              <w:t xml:space="preserve"> </w:t>
            </w:r>
            <w:r w:rsidRPr="003E334F">
              <w:rPr>
                <w:color w:val="212121"/>
                <w:sz w:val="24"/>
              </w:rPr>
              <w:t xml:space="preserve">that has been generally applied to resources materially similar to the Facility in terms of </w:t>
            </w:r>
            <w:r w:rsidRPr="003E334F">
              <w:rPr>
                <w:color w:val="000000" w:themeColor="text1"/>
                <w:sz w:val="24"/>
              </w:rPr>
              <w:t xml:space="preserve">technology </w:t>
            </w:r>
            <w:r w:rsidRPr="003E334F">
              <w:rPr>
                <w:color w:val="212121"/>
                <w:sz w:val="24"/>
              </w:rPr>
              <w:t>type, market and operational characteristics (including those characteristics specified in the CPUC Master Resource Database), including any methodology that incorporates fleet averages or other average outage rate</w:t>
            </w:r>
            <w:r w:rsidRPr="003E334F">
              <w:rPr>
                <w:sz w:val="24"/>
              </w:rPr>
              <w:t>s</w:t>
            </w:r>
            <w:r>
              <w:t>.</w:t>
            </w:r>
          </w:p>
        </w:tc>
      </w:tr>
      <w:tr w:rsidR="004123B0" w:rsidRPr="001727A0" w14:paraId="417A6EF4" w14:textId="6515411C" w:rsidTr="00990C30">
        <w:tc>
          <w:tcPr>
            <w:tcW w:w="2070" w:type="dxa"/>
          </w:tcPr>
          <w:p w14:paraId="25F672B7" w14:textId="4D35B723" w:rsidR="004123B0" w:rsidRPr="001727A0" w:rsidRDefault="004123B0" w:rsidP="004123B0">
            <w:pPr>
              <w:spacing w:before="120" w:after="120" w:line="240" w:lineRule="auto"/>
              <w:ind w:left="90" w:right="90"/>
              <w:rPr>
                <w:rFonts w:ascii="Times New Roman" w:hAnsi="Times New Roman"/>
                <w:b/>
                <w:color w:val="282828"/>
                <w:sz w:val="24"/>
                <w:szCs w:val="24"/>
              </w:rPr>
            </w:pPr>
            <w:bookmarkStart w:id="0" w:name="_Hlk83391853"/>
            <w:r w:rsidRPr="001727A0">
              <w:rPr>
                <w:rFonts w:ascii="Times New Roman" w:hAnsi="Times New Roman"/>
                <w:b/>
                <w:color w:val="282828"/>
                <w:sz w:val="24"/>
                <w:szCs w:val="24"/>
              </w:rPr>
              <w:lastRenderedPageBreak/>
              <w:t>Resource Adequacy Failure:</w:t>
            </w:r>
          </w:p>
        </w:tc>
        <w:tc>
          <w:tcPr>
            <w:tcW w:w="7290" w:type="dxa"/>
          </w:tcPr>
          <w:p w14:paraId="277EAF7C" w14:textId="70AC8856" w:rsidR="004123B0" w:rsidRPr="001727A0" w:rsidRDefault="004123B0" w:rsidP="004123B0">
            <w:pPr>
              <w:pStyle w:val="00PlainText"/>
              <w:spacing w:before="120" w:after="120"/>
              <w:ind w:left="93" w:right="90"/>
              <w:rPr>
                <w:sz w:val="24"/>
              </w:rPr>
            </w:pPr>
            <w:r w:rsidRPr="001727A0">
              <w:rPr>
                <w:sz w:val="24"/>
              </w:rPr>
              <w:t xml:space="preserve">If in any month of the Delivery Term the Delivered RA is less than the Guaranteed RA Amount, Seller </w:t>
            </w:r>
            <w:r w:rsidRPr="00D962D5">
              <w:rPr>
                <w:sz w:val="24"/>
              </w:rPr>
              <w:t xml:space="preserve">shall </w:t>
            </w:r>
            <w:r w:rsidR="00D962D5" w:rsidRPr="00D962D5">
              <w:rPr>
                <w:sz w:val="24"/>
              </w:rPr>
              <w:t xml:space="preserve">pay to Buyer damages </w:t>
            </w:r>
            <w:r w:rsidR="00D962D5" w:rsidRPr="003E334F">
              <w:rPr>
                <w:sz w:val="24"/>
              </w:rPr>
              <w:t>equal to the sum of (</w:t>
            </w:r>
            <w:proofErr w:type="spellStart"/>
            <w:r w:rsidR="00D962D5" w:rsidRPr="003E334F">
              <w:rPr>
                <w:sz w:val="24"/>
              </w:rPr>
              <w:t>i</w:t>
            </w:r>
            <w:proofErr w:type="spellEnd"/>
            <w:r w:rsidR="00D962D5" w:rsidRPr="003E334F">
              <w:rPr>
                <w:sz w:val="24"/>
              </w:rPr>
              <w:t>) the product of (A) the RA Shortfall Amount, and (B) the CPUC System RA Penalty and/or the CPM Soft Offer Cap assessed against Buyer as a result of such RA Shortfall Amount, if any, and (ii) Buyer’s cost of procuring replacement Resource Adequacy Benefits in a quantity up to the amount of the RA Shortfall Amount, or if Buyer did not purchase replacement Resource Adequacy Benefits, the market cost of Resource Adequacy Benefits not purchased by Buyer in a quantity up to the amount of the RA Shortfall Amount, as reasonably determined by Buyer.</w:t>
            </w:r>
            <w:r w:rsidR="00D962D5" w:rsidRPr="003E334F">
              <w:rPr>
                <w:color w:val="000000"/>
                <w:sz w:val="24"/>
              </w:rPr>
              <w:t xml:space="preserve">  </w:t>
            </w:r>
          </w:p>
          <w:p w14:paraId="323EA9DE" w14:textId="77777777" w:rsidR="0084307C" w:rsidRDefault="0084307C" w:rsidP="00FD0C5C">
            <w:pPr>
              <w:pStyle w:val="BodyText2"/>
              <w:spacing w:after="0" w:line="240" w:lineRule="auto"/>
              <w:ind w:right="86"/>
              <w:jc w:val="both"/>
            </w:pPr>
          </w:p>
          <w:p w14:paraId="371C40AB" w14:textId="4C9E1ACF" w:rsidR="0084307C" w:rsidRPr="00990C30" w:rsidRDefault="0084307C" w:rsidP="00990C30">
            <w:pPr>
              <w:spacing w:after="120" w:line="240" w:lineRule="auto"/>
              <w:ind w:left="86" w:right="86"/>
              <w:jc w:val="both"/>
              <w:rPr>
                <w:rFonts w:ascii="Times New Roman" w:hAnsi="Times New Roman"/>
                <w:sz w:val="24"/>
                <w:szCs w:val="24"/>
              </w:rPr>
            </w:pPr>
            <w:r w:rsidRPr="00990C30">
              <w:rPr>
                <w:rFonts w:ascii="Times New Roman" w:hAnsi="Times New Roman"/>
                <w:sz w:val="24"/>
                <w:szCs w:val="24"/>
              </w:rPr>
              <w:t>“</w:t>
            </w:r>
            <w:r w:rsidRPr="00990C30">
              <w:rPr>
                <w:rFonts w:ascii="Times New Roman" w:hAnsi="Times New Roman"/>
                <w:b/>
                <w:bCs/>
                <w:sz w:val="24"/>
                <w:szCs w:val="24"/>
                <w:u w:val="single"/>
              </w:rPr>
              <w:t>Delivered RA</w:t>
            </w:r>
            <w:r w:rsidRPr="00990C30">
              <w:rPr>
                <w:rFonts w:ascii="Times New Roman" w:hAnsi="Times New Roman"/>
                <w:sz w:val="24"/>
                <w:szCs w:val="24"/>
              </w:rPr>
              <w:t>” means an amount, expressed in MW, calculated for the applicable Showing Month as the sum of (a) the amount of Net Qualifying Capacity of the Facility for such Showing Month able to be shown on Buyer’s monthly or annual Resource Adequacy Plans to the CAISO and CPUC and able to be counted as Resource Adequacy Benefits by both the CAISO and CPUC, (b) Deemed Delivered RA, and (c) Replacement RA.</w:t>
            </w:r>
          </w:p>
          <w:p w14:paraId="073B4AD5" w14:textId="77777777" w:rsidR="0084307C" w:rsidRPr="00D962D5" w:rsidRDefault="0084307C" w:rsidP="00990C30">
            <w:pPr>
              <w:pStyle w:val="BodyText2"/>
              <w:spacing w:after="0" w:line="240" w:lineRule="auto"/>
              <w:ind w:left="86" w:right="86"/>
              <w:jc w:val="both"/>
            </w:pPr>
          </w:p>
          <w:p w14:paraId="7A9BAE4B" w14:textId="231B0276" w:rsidR="00D962D5" w:rsidRPr="00F63E27" w:rsidRDefault="00D962D5" w:rsidP="00990C30">
            <w:pPr>
              <w:spacing w:line="240" w:lineRule="auto"/>
              <w:ind w:left="86" w:right="86"/>
              <w:jc w:val="both"/>
            </w:pPr>
            <w:r w:rsidRPr="003E334F">
              <w:rPr>
                <w:rFonts w:ascii="Times New Roman" w:hAnsi="Times New Roman"/>
                <w:sz w:val="24"/>
                <w:szCs w:val="24"/>
              </w:rPr>
              <w:t>“</w:t>
            </w:r>
            <w:r w:rsidRPr="003E334F">
              <w:rPr>
                <w:rFonts w:ascii="Times New Roman" w:hAnsi="Times New Roman"/>
                <w:b/>
                <w:bCs/>
                <w:sz w:val="24"/>
                <w:szCs w:val="24"/>
                <w:u w:val="single"/>
              </w:rPr>
              <w:t>Deemed Delivered RA</w:t>
            </w:r>
            <w:r w:rsidRPr="003E334F">
              <w:rPr>
                <w:rFonts w:ascii="Times New Roman" w:hAnsi="Times New Roman"/>
                <w:sz w:val="24"/>
                <w:szCs w:val="24"/>
              </w:rPr>
              <w:t>” means, for the applicable Showing Month, the amount of Net Qualifying Capacity, expressed in MW, that the Facility would have been able to deliver as Resource Adequacy, but for (a) a Force Majeure Event as provided in Section 10.1, or (b) Planned Outages permitted by the terms of this Agreement to the extent such Planned Outages reduce the maximum achievable Net Qualifying Capacity of the Facility</w:t>
            </w:r>
            <w:r w:rsidR="00CA4AB2">
              <w:rPr>
                <w:rFonts w:ascii="Times New Roman" w:hAnsi="Times New Roman"/>
                <w:sz w:val="24"/>
                <w:szCs w:val="24"/>
              </w:rPr>
              <w:t>.</w:t>
            </w:r>
          </w:p>
        </w:tc>
      </w:tr>
      <w:tr w:rsidR="00A1296E" w:rsidRPr="001727A0" w14:paraId="6F4D6BB4" w14:textId="77777777" w:rsidTr="00A1296E">
        <w:tc>
          <w:tcPr>
            <w:tcW w:w="2070" w:type="dxa"/>
          </w:tcPr>
          <w:p w14:paraId="7CBD6957" w14:textId="0FCCE5FE" w:rsidR="004123B0" w:rsidRPr="001727A0" w:rsidRDefault="004123B0" w:rsidP="004123B0">
            <w:pPr>
              <w:spacing w:before="120" w:after="120" w:line="240" w:lineRule="auto"/>
              <w:ind w:left="90" w:right="90"/>
              <w:rPr>
                <w:rFonts w:ascii="Times New Roman" w:hAnsi="Times New Roman"/>
                <w:b/>
                <w:color w:val="282828"/>
                <w:sz w:val="24"/>
                <w:szCs w:val="24"/>
              </w:rPr>
            </w:pPr>
            <w:r>
              <w:rPr>
                <w:rFonts w:ascii="Times New Roman" w:hAnsi="Times New Roman"/>
                <w:b/>
                <w:color w:val="282828"/>
                <w:sz w:val="24"/>
                <w:szCs w:val="24"/>
              </w:rPr>
              <w:t>Dispatch Down/Buyer Bid Curtailment</w:t>
            </w:r>
          </w:p>
        </w:tc>
        <w:tc>
          <w:tcPr>
            <w:tcW w:w="7290" w:type="dxa"/>
          </w:tcPr>
          <w:p w14:paraId="30252FDA" w14:textId="77777777" w:rsidR="00041478" w:rsidRDefault="004123B0" w:rsidP="004123B0">
            <w:pPr>
              <w:pStyle w:val="ListParagraph"/>
              <w:spacing w:after="120"/>
              <w:ind w:left="85" w:right="90" w:hanging="3"/>
              <w:jc w:val="both"/>
              <w:rPr>
                <w:rFonts w:ascii="Times New Roman" w:hAnsi="Times New Roman" w:cs="Times New Roman"/>
                <w:sz w:val="24"/>
                <w:szCs w:val="24"/>
              </w:rPr>
            </w:pPr>
            <w:r w:rsidRPr="003E334F">
              <w:rPr>
                <w:rFonts w:ascii="Times New Roman" w:hAnsi="Times New Roman" w:cs="Times New Roman"/>
                <w:sz w:val="24"/>
                <w:szCs w:val="24"/>
              </w:rPr>
              <w:t xml:space="preserve">Seller agrees to reduce the amount of Energy produced by the Facility, by the amount and for the period set forth in any Curtailment Order, Buyer Curtailment Order, or notice received from CAISO in respect of a Buyer Bid Curtailment; </w:t>
            </w:r>
            <w:r w:rsidRPr="003E334F">
              <w:rPr>
                <w:rFonts w:ascii="Times New Roman" w:hAnsi="Times New Roman" w:cs="Times New Roman"/>
                <w:i/>
                <w:sz w:val="24"/>
                <w:szCs w:val="24"/>
              </w:rPr>
              <w:t>provided</w:t>
            </w:r>
            <w:r w:rsidRPr="003E334F">
              <w:rPr>
                <w:rFonts w:ascii="Times New Roman" w:hAnsi="Times New Roman" w:cs="Times New Roman"/>
                <w:sz w:val="24"/>
                <w:szCs w:val="24"/>
              </w:rPr>
              <w:t>, Seller is not required to reduce such amount to the extent it is inconsistent with the limitations of the Facility</w:t>
            </w:r>
            <w:r>
              <w:rPr>
                <w:rFonts w:ascii="Times New Roman" w:hAnsi="Times New Roman" w:cs="Times New Roman"/>
                <w:sz w:val="24"/>
                <w:szCs w:val="24"/>
              </w:rPr>
              <w:t>.</w:t>
            </w:r>
          </w:p>
          <w:p w14:paraId="61A190F2" w14:textId="5E3A2209" w:rsidR="004123B0" w:rsidRPr="001727A0" w:rsidRDefault="004123B0" w:rsidP="004123B0">
            <w:pPr>
              <w:pStyle w:val="ListParagraph"/>
              <w:spacing w:after="120"/>
              <w:ind w:left="85" w:right="90" w:hanging="3"/>
              <w:jc w:val="both"/>
              <w:rPr>
                <w:rFonts w:ascii="Times New Roman" w:eastAsia="Cambria" w:hAnsi="Times New Roman" w:cs="Times New Roman"/>
                <w:sz w:val="24"/>
                <w:szCs w:val="24"/>
              </w:rPr>
            </w:pPr>
            <w:r w:rsidRPr="001727A0">
              <w:rPr>
                <w:rFonts w:ascii="Times New Roman" w:eastAsia="Cambria" w:hAnsi="Times New Roman" w:cs="Times New Roman"/>
                <w:sz w:val="24"/>
                <w:szCs w:val="24"/>
              </w:rPr>
              <w:t>“</w:t>
            </w:r>
            <w:r w:rsidRPr="001727A0">
              <w:rPr>
                <w:rFonts w:ascii="Times New Roman" w:eastAsia="Cambria" w:hAnsi="Times New Roman" w:cs="Times New Roman"/>
                <w:b/>
                <w:bCs/>
                <w:sz w:val="24"/>
                <w:szCs w:val="24"/>
                <w:u w:val="single"/>
              </w:rPr>
              <w:t>Buyer Curtailment Order</w:t>
            </w:r>
            <w:r w:rsidRPr="00FD0C5C">
              <w:rPr>
                <w:rFonts w:ascii="Times New Roman" w:eastAsia="Cambria" w:hAnsi="Times New Roman" w:cs="Times New Roman"/>
                <w:sz w:val="24"/>
                <w:szCs w:val="24"/>
              </w:rPr>
              <w:t>”</w:t>
            </w:r>
            <w:r w:rsidRPr="001727A0">
              <w:rPr>
                <w:rFonts w:ascii="Times New Roman" w:eastAsia="Cambria" w:hAnsi="Times New Roman" w:cs="Times New Roman"/>
                <w:sz w:val="24"/>
                <w:szCs w:val="24"/>
              </w:rPr>
              <w:t xml:space="preserve"> means the instruction from Buyer to Seller to reduce</w:t>
            </w:r>
            <w:r w:rsidR="0084307C">
              <w:rPr>
                <w:rFonts w:ascii="Times New Roman" w:eastAsia="Cambria" w:hAnsi="Times New Roman" w:cs="Times New Roman"/>
                <w:sz w:val="24"/>
                <w:szCs w:val="24"/>
              </w:rPr>
              <w:t xml:space="preserve"> Delivered </w:t>
            </w:r>
            <w:r w:rsidRPr="001727A0">
              <w:rPr>
                <w:rFonts w:ascii="Times New Roman" w:eastAsia="Cambria" w:hAnsi="Times New Roman" w:cs="Times New Roman"/>
                <w:sz w:val="24"/>
                <w:szCs w:val="24"/>
              </w:rPr>
              <w:t xml:space="preserve">Energy from the Facility by the amount, and for the </w:t>
            </w:r>
            <w:proofErr w:type="gramStart"/>
            <w:r w:rsidRPr="001727A0">
              <w:rPr>
                <w:rFonts w:ascii="Times New Roman" w:eastAsia="Cambria" w:hAnsi="Times New Roman" w:cs="Times New Roman"/>
                <w:sz w:val="24"/>
                <w:szCs w:val="24"/>
              </w:rPr>
              <w:t>period of time</w:t>
            </w:r>
            <w:proofErr w:type="gramEnd"/>
            <w:r w:rsidRPr="001727A0">
              <w:rPr>
                <w:rFonts w:ascii="Times New Roman" w:eastAsia="Cambria" w:hAnsi="Times New Roman" w:cs="Times New Roman"/>
                <w:sz w:val="24"/>
                <w:szCs w:val="24"/>
              </w:rPr>
              <w:t xml:space="preserve"> set forth in such instruction, for reasons unrelated to a Planned Outage, Forced Facility Outage, Force Majeure Event or Curtailment Order.  </w:t>
            </w:r>
          </w:p>
          <w:p w14:paraId="0E426D02" w14:textId="77777777" w:rsidR="004123B0" w:rsidRDefault="004123B0" w:rsidP="004123B0">
            <w:pPr>
              <w:ind w:left="85" w:right="83" w:hanging="3"/>
              <w:jc w:val="both"/>
              <w:rPr>
                <w:rFonts w:ascii="Times New Roman" w:hAnsi="Times New Roman"/>
                <w:sz w:val="24"/>
                <w:szCs w:val="24"/>
              </w:rPr>
            </w:pPr>
            <w:r w:rsidRPr="001727A0">
              <w:rPr>
                <w:rFonts w:ascii="Times New Roman" w:hAnsi="Times New Roman"/>
                <w:sz w:val="24"/>
                <w:szCs w:val="24"/>
              </w:rPr>
              <w:t>“</w:t>
            </w:r>
            <w:r w:rsidRPr="001727A0">
              <w:rPr>
                <w:rFonts w:ascii="Times New Roman" w:hAnsi="Times New Roman"/>
                <w:b/>
                <w:sz w:val="24"/>
                <w:szCs w:val="24"/>
                <w:u w:val="single"/>
              </w:rPr>
              <w:t>Buyer Bid Curtailment</w:t>
            </w:r>
            <w:r w:rsidRPr="001727A0">
              <w:rPr>
                <w:rFonts w:ascii="Times New Roman" w:hAnsi="Times New Roman"/>
                <w:sz w:val="24"/>
                <w:szCs w:val="24"/>
              </w:rPr>
              <w:t xml:space="preserve">” means the occurrence of both of the following:  </w:t>
            </w:r>
          </w:p>
          <w:p w14:paraId="4EA04E15" w14:textId="71EE3211" w:rsidR="004123B0" w:rsidRPr="006B2699" w:rsidRDefault="004123B0" w:rsidP="004123B0">
            <w:pPr>
              <w:pStyle w:val="RPSPPAaparagraph"/>
              <w:ind w:left="85" w:right="83" w:firstLine="0"/>
              <w:jc w:val="both"/>
              <w:rPr>
                <w:b/>
                <w:i/>
                <w:sz w:val="24"/>
                <w:szCs w:val="24"/>
              </w:rPr>
            </w:pPr>
            <w:r>
              <w:rPr>
                <w:sz w:val="24"/>
                <w:szCs w:val="24"/>
              </w:rPr>
              <w:t>(a</w:t>
            </w:r>
            <w:proofErr w:type="gramStart"/>
            <w:r>
              <w:rPr>
                <w:sz w:val="24"/>
                <w:szCs w:val="24"/>
              </w:rPr>
              <w:t xml:space="preserve">)  </w:t>
            </w:r>
            <w:r w:rsidRPr="00A72FCB">
              <w:rPr>
                <w:sz w:val="24"/>
                <w:szCs w:val="24"/>
              </w:rPr>
              <w:t>the</w:t>
            </w:r>
            <w:proofErr w:type="gramEnd"/>
            <w:r w:rsidRPr="00A72FCB">
              <w:rPr>
                <w:sz w:val="24"/>
                <w:szCs w:val="24"/>
              </w:rPr>
              <w:t xml:space="preserve"> CAISO provides notice to a Party or the Scheduling Coordinator for the Facility, requiring the Party to deliver less Facility Energy than </w:t>
            </w:r>
            <w:r>
              <w:rPr>
                <w:sz w:val="24"/>
                <w:szCs w:val="24"/>
              </w:rPr>
              <w:t>the full amount of Energy f</w:t>
            </w:r>
            <w:r w:rsidRPr="00A72FCB">
              <w:rPr>
                <w:sz w:val="24"/>
                <w:szCs w:val="24"/>
              </w:rPr>
              <w:t>orecast</w:t>
            </w:r>
            <w:r>
              <w:rPr>
                <w:sz w:val="24"/>
                <w:szCs w:val="24"/>
              </w:rPr>
              <w:t>ed</w:t>
            </w:r>
            <w:r w:rsidRPr="00A72FCB">
              <w:rPr>
                <w:sz w:val="24"/>
                <w:szCs w:val="24"/>
              </w:rPr>
              <w:t xml:space="preserve"> </w:t>
            </w:r>
            <w:r>
              <w:rPr>
                <w:sz w:val="24"/>
                <w:szCs w:val="24"/>
              </w:rPr>
              <w:t xml:space="preserve">in accordance with Section 4.5 to be produced from the Facility </w:t>
            </w:r>
            <w:r w:rsidRPr="00A72FCB">
              <w:rPr>
                <w:sz w:val="24"/>
                <w:szCs w:val="24"/>
              </w:rPr>
              <w:t xml:space="preserve">for a period of </w:t>
            </w:r>
            <w:proofErr w:type="gramStart"/>
            <w:r w:rsidRPr="00A72FCB">
              <w:rPr>
                <w:sz w:val="24"/>
                <w:szCs w:val="24"/>
              </w:rPr>
              <w:t>time</w:t>
            </w:r>
            <w:r>
              <w:rPr>
                <w:sz w:val="24"/>
                <w:szCs w:val="24"/>
              </w:rPr>
              <w:t>;</w:t>
            </w:r>
            <w:proofErr w:type="gramEnd"/>
            <w:r>
              <w:rPr>
                <w:sz w:val="24"/>
                <w:szCs w:val="24"/>
              </w:rPr>
              <w:t xml:space="preserve"> </w:t>
            </w:r>
          </w:p>
          <w:p w14:paraId="76E0662D" w14:textId="62DB0A18" w:rsidR="004123B0" w:rsidRDefault="004123B0" w:rsidP="004123B0">
            <w:pPr>
              <w:pStyle w:val="RPSPPAaparagraph"/>
              <w:ind w:left="85" w:right="83" w:firstLine="0"/>
              <w:jc w:val="both"/>
              <w:rPr>
                <w:sz w:val="24"/>
                <w:szCs w:val="24"/>
              </w:rPr>
            </w:pPr>
            <w:r>
              <w:rPr>
                <w:sz w:val="24"/>
                <w:szCs w:val="24"/>
              </w:rPr>
              <w:lastRenderedPageBreak/>
              <w:t xml:space="preserve">(b)   </w:t>
            </w:r>
            <w:r w:rsidRPr="006B5D35">
              <w:rPr>
                <w:sz w:val="24"/>
                <w:szCs w:val="24"/>
              </w:rPr>
              <w:t xml:space="preserve"> for the same </w:t>
            </w:r>
            <w:proofErr w:type="gramStart"/>
            <w:r w:rsidRPr="006B5D35">
              <w:rPr>
                <w:sz w:val="24"/>
                <w:szCs w:val="24"/>
              </w:rPr>
              <w:t>time period</w:t>
            </w:r>
            <w:proofErr w:type="gramEnd"/>
            <w:r w:rsidRPr="006B5D35">
              <w:rPr>
                <w:sz w:val="24"/>
                <w:szCs w:val="24"/>
              </w:rPr>
              <w:t xml:space="preserve"> as referenced in (a), the notice referenced in (a) results from the </w:t>
            </w:r>
            <w:proofErr w:type="gramStart"/>
            <w:r w:rsidRPr="006B5D35">
              <w:rPr>
                <w:sz w:val="24"/>
                <w:szCs w:val="24"/>
              </w:rPr>
              <w:t>manner in which</w:t>
            </w:r>
            <w:proofErr w:type="gramEnd"/>
            <w:r w:rsidRPr="006B5D35">
              <w:rPr>
                <w:sz w:val="24"/>
                <w:szCs w:val="24"/>
              </w:rPr>
              <w:t xml:space="preserve"> Buyer or the SC schedules or </w:t>
            </w:r>
            <w:r>
              <w:rPr>
                <w:sz w:val="24"/>
                <w:szCs w:val="24"/>
              </w:rPr>
              <w:t>b</w:t>
            </w:r>
            <w:r w:rsidRPr="006B5D35">
              <w:rPr>
                <w:sz w:val="24"/>
                <w:szCs w:val="24"/>
              </w:rPr>
              <w:t>ids the Facility or Energy, including where Buyer or the SC for the Facility</w:t>
            </w:r>
            <w:r>
              <w:rPr>
                <w:sz w:val="24"/>
                <w:szCs w:val="24"/>
              </w:rPr>
              <w:t xml:space="preserve">: </w:t>
            </w:r>
          </w:p>
          <w:p w14:paraId="19BCB16E" w14:textId="6A62B388" w:rsidR="004123B0" w:rsidRDefault="004123B0" w:rsidP="004123B0">
            <w:pPr>
              <w:pStyle w:val="RPSPPAiparagraph"/>
              <w:ind w:left="355" w:right="83" w:firstLine="0"/>
              <w:jc w:val="both"/>
              <w:rPr>
                <w:sz w:val="24"/>
                <w:szCs w:val="24"/>
              </w:rPr>
            </w:pPr>
            <w:r>
              <w:rPr>
                <w:sz w:val="24"/>
                <w:szCs w:val="24"/>
              </w:rPr>
              <w:t>(</w:t>
            </w:r>
            <w:proofErr w:type="spellStart"/>
            <w:r>
              <w:rPr>
                <w:sz w:val="24"/>
                <w:szCs w:val="24"/>
              </w:rPr>
              <w:t>i</w:t>
            </w:r>
            <w:proofErr w:type="spellEnd"/>
            <w:r>
              <w:rPr>
                <w:sz w:val="24"/>
                <w:szCs w:val="24"/>
              </w:rPr>
              <w:t>)  did not submit a Self-Schedule or an Energy Supply Bid for the MW subject to the reduction; or</w:t>
            </w:r>
          </w:p>
          <w:p w14:paraId="3F406368" w14:textId="77777777" w:rsidR="004123B0" w:rsidRDefault="004123B0" w:rsidP="004123B0">
            <w:pPr>
              <w:pStyle w:val="RPSPPAiparagraph"/>
              <w:ind w:left="355" w:right="83" w:firstLine="0"/>
              <w:jc w:val="both"/>
              <w:rPr>
                <w:sz w:val="24"/>
                <w:szCs w:val="24"/>
              </w:rPr>
            </w:pPr>
            <w:r>
              <w:rPr>
                <w:sz w:val="24"/>
                <w:szCs w:val="24"/>
              </w:rPr>
              <w:t xml:space="preserve">(ii)  submitted an Energy Supply Bid and the CAISO notice referenced in </w:t>
            </w:r>
            <w:bookmarkStart w:id="1" w:name="DocXTextRef17"/>
            <w:r>
              <w:rPr>
                <w:sz w:val="24"/>
                <w:szCs w:val="24"/>
              </w:rPr>
              <w:t>(a)</w:t>
            </w:r>
            <w:bookmarkEnd w:id="1"/>
            <w:r>
              <w:rPr>
                <w:sz w:val="24"/>
                <w:szCs w:val="24"/>
              </w:rPr>
              <w:t xml:space="preserve"> is solely a result of CAISO implementing the Energy Supply Bid; or</w:t>
            </w:r>
          </w:p>
          <w:p w14:paraId="5CB96408" w14:textId="574B637E" w:rsidR="004123B0" w:rsidRDefault="004123B0" w:rsidP="004123B0">
            <w:pPr>
              <w:pStyle w:val="RPSPPAiparagraph"/>
              <w:ind w:left="360" w:right="83" w:firstLine="0"/>
              <w:jc w:val="both"/>
              <w:rPr>
                <w:sz w:val="24"/>
                <w:szCs w:val="24"/>
              </w:rPr>
            </w:pPr>
            <w:r>
              <w:rPr>
                <w:sz w:val="24"/>
                <w:szCs w:val="24"/>
              </w:rPr>
              <w:t xml:space="preserve">(iii) submitted a Self-Schedule for less than the full amount </w:t>
            </w:r>
            <w:proofErr w:type="gramStart"/>
            <w:r>
              <w:rPr>
                <w:sz w:val="24"/>
                <w:szCs w:val="24"/>
              </w:rPr>
              <w:t>of  Energy</w:t>
            </w:r>
            <w:proofErr w:type="gramEnd"/>
            <w:r>
              <w:rPr>
                <w:sz w:val="24"/>
                <w:szCs w:val="24"/>
              </w:rPr>
              <w:t xml:space="preserve"> forecasted to be generated by or delivered from the Facility.</w:t>
            </w:r>
          </w:p>
          <w:p w14:paraId="766A623D" w14:textId="3984506B" w:rsidR="004123B0" w:rsidRDefault="004123B0" w:rsidP="004123B0">
            <w:pPr>
              <w:spacing w:after="0" w:line="240" w:lineRule="auto"/>
              <w:ind w:left="85" w:right="86"/>
              <w:jc w:val="both"/>
              <w:rPr>
                <w:rFonts w:ascii="Times New Roman" w:hAnsi="Times New Roman"/>
                <w:sz w:val="24"/>
                <w:szCs w:val="24"/>
              </w:rPr>
            </w:pPr>
            <w:r w:rsidRPr="00F61965">
              <w:rPr>
                <w:rFonts w:ascii="Times New Roman" w:hAnsi="Times New Roman"/>
                <w:sz w:val="24"/>
                <w:szCs w:val="24"/>
              </w:rPr>
              <w:t xml:space="preserve">If the Facility is subject to a Planned Outage, Forced Facility Outage, Force Majeure Event or a Curtailment Period during the same </w:t>
            </w:r>
            <w:proofErr w:type="gramStart"/>
            <w:r w:rsidRPr="00F61965">
              <w:rPr>
                <w:rFonts w:ascii="Times New Roman" w:hAnsi="Times New Roman"/>
                <w:sz w:val="24"/>
                <w:szCs w:val="24"/>
              </w:rPr>
              <w:t>time period</w:t>
            </w:r>
            <w:proofErr w:type="gramEnd"/>
            <w:r w:rsidRPr="00F61965">
              <w:rPr>
                <w:rFonts w:ascii="Times New Roman" w:hAnsi="Times New Roman"/>
                <w:sz w:val="24"/>
                <w:szCs w:val="24"/>
              </w:rPr>
              <w:t xml:space="preserve"> as referenced in </w:t>
            </w:r>
            <w:bookmarkStart w:id="2" w:name="DocXTextRef18"/>
            <w:r w:rsidRPr="00F61965">
              <w:rPr>
                <w:rFonts w:ascii="Times New Roman" w:hAnsi="Times New Roman"/>
                <w:sz w:val="24"/>
                <w:szCs w:val="24"/>
              </w:rPr>
              <w:t>(a)</w:t>
            </w:r>
            <w:bookmarkEnd w:id="2"/>
            <w:r w:rsidRPr="00F61965">
              <w:rPr>
                <w:rFonts w:ascii="Times New Roman" w:hAnsi="Times New Roman"/>
                <w:sz w:val="24"/>
                <w:szCs w:val="24"/>
              </w:rPr>
              <w:t>, then the calculation of Deemed Delivered Energy during such period shall not include any Facility Energy that was not generated due to such Planned Outage, Forced Facility Outage, Force Majeure Event or Curtailment Period</w:t>
            </w:r>
            <w:r>
              <w:rPr>
                <w:rFonts w:ascii="Times New Roman" w:hAnsi="Times New Roman"/>
                <w:sz w:val="24"/>
                <w:szCs w:val="24"/>
              </w:rPr>
              <w:t>.</w:t>
            </w:r>
          </w:p>
          <w:p w14:paraId="0D4BD5D3" w14:textId="77777777" w:rsidR="004123B0" w:rsidRDefault="004123B0" w:rsidP="004123B0">
            <w:pPr>
              <w:spacing w:after="0" w:line="240" w:lineRule="auto"/>
              <w:ind w:left="360" w:right="86"/>
              <w:jc w:val="both"/>
              <w:rPr>
                <w:rFonts w:ascii="Times New Roman" w:hAnsi="Times New Roman"/>
                <w:sz w:val="24"/>
                <w:szCs w:val="24"/>
              </w:rPr>
            </w:pPr>
          </w:p>
          <w:p w14:paraId="3AD9A805" w14:textId="240DDABD" w:rsidR="004123B0" w:rsidRDefault="004123B0" w:rsidP="004123B0">
            <w:pPr>
              <w:spacing w:after="0" w:line="240" w:lineRule="auto"/>
              <w:ind w:left="85" w:right="86"/>
              <w:jc w:val="both"/>
              <w:rPr>
                <w:rFonts w:ascii="Times New Roman" w:eastAsia="Cambria" w:hAnsi="Times New Roman"/>
                <w:sz w:val="24"/>
                <w:szCs w:val="24"/>
              </w:rPr>
            </w:pPr>
            <w:r w:rsidRPr="003E334F">
              <w:rPr>
                <w:rFonts w:ascii="Times New Roman" w:eastAsia="Cambria" w:hAnsi="Times New Roman"/>
                <w:sz w:val="24"/>
                <w:szCs w:val="24"/>
              </w:rPr>
              <w:t>“</w:t>
            </w:r>
            <w:r w:rsidRPr="003E334F">
              <w:rPr>
                <w:rFonts w:ascii="Times New Roman" w:eastAsia="Cambria" w:hAnsi="Times New Roman"/>
                <w:b/>
                <w:bCs/>
                <w:sz w:val="24"/>
                <w:szCs w:val="24"/>
                <w:u w:val="single"/>
              </w:rPr>
              <w:t>Curtailment Cap</w:t>
            </w:r>
            <w:r w:rsidRPr="003E334F">
              <w:rPr>
                <w:rFonts w:ascii="Times New Roman" w:eastAsia="Cambria" w:hAnsi="Times New Roman"/>
                <w:sz w:val="24"/>
                <w:szCs w:val="24"/>
              </w:rPr>
              <w:t>”</w:t>
            </w:r>
            <w:r w:rsidRPr="00F61965">
              <w:rPr>
                <w:rFonts w:ascii="Times New Roman" w:eastAsia="Cambria" w:hAnsi="Times New Roman"/>
                <w:sz w:val="24"/>
                <w:szCs w:val="24"/>
              </w:rPr>
              <w:t xml:space="preserve"> </w:t>
            </w:r>
            <w:r w:rsidRPr="00F61965">
              <w:rPr>
                <w:rFonts w:ascii="Times New Roman" w:hAnsi="Times New Roman"/>
                <w:sz w:val="24"/>
                <w:szCs w:val="24"/>
              </w:rPr>
              <w:t>is the quantity per Contract Year, in MWh, equal to fifty (50) hours multiplied by the Guaranteed Capacity</w:t>
            </w:r>
            <w:r w:rsidRPr="003E334F">
              <w:rPr>
                <w:rFonts w:ascii="Times New Roman" w:eastAsia="Cambria" w:hAnsi="Times New Roman"/>
                <w:sz w:val="24"/>
                <w:szCs w:val="24"/>
              </w:rPr>
              <w:t>.</w:t>
            </w:r>
          </w:p>
          <w:p w14:paraId="2235B993" w14:textId="77777777" w:rsidR="004123B0" w:rsidRPr="00F61965" w:rsidRDefault="004123B0" w:rsidP="004123B0">
            <w:pPr>
              <w:spacing w:after="0" w:line="240" w:lineRule="auto"/>
              <w:ind w:left="85" w:right="86"/>
              <w:jc w:val="both"/>
              <w:rPr>
                <w:rFonts w:ascii="Times New Roman" w:hAnsi="Times New Roman"/>
                <w:sz w:val="24"/>
                <w:szCs w:val="24"/>
              </w:rPr>
            </w:pPr>
          </w:p>
          <w:p w14:paraId="72591A5F" w14:textId="3ED64E2F" w:rsidR="004123B0" w:rsidRPr="00F61965" w:rsidRDefault="004123B0" w:rsidP="004123B0">
            <w:pPr>
              <w:pStyle w:val="ListParagraph"/>
              <w:spacing w:after="120"/>
              <w:ind w:left="85" w:right="90"/>
              <w:jc w:val="both"/>
              <w:rPr>
                <w:rFonts w:ascii="Times New Roman" w:eastAsia="Cambria" w:hAnsi="Times New Roman" w:cs="Times New Roman"/>
                <w:sz w:val="24"/>
                <w:szCs w:val="24"/>
              </w:rPr>
            </w:pPr>
            <w:r w:rsidRPr="00BB7AFC">
              <w:rPr>
                <w:rFonts w:ascii="Times New Roman" w:eastAsia="Cambria" w:hAnsi="Times New Roman" w:cs="Times New Roman"/>
                <w:sz w:val="24"/>
                <w:szCs w:val="24"/>
              </w:rPr>
              <w:t>“</w:t>
            </w:r>
            <w:r w:rsidRPr="00BB7AFC">
              <w:rPr>
                <w:rFonts w:ascii="Times New Roman" w:eastAsia="Cambria" w:hAnsi="Times New Roman" w:cs="Times New Roman"/>
                <w:b/>
                <w:bCs/>
                <w:sz w:val="24"/>
                <w:szCs w:val="24"/>
                <w:u w:val="single"/>
              </w:rPr>
              <w:t>Deemed Delivered Energy</w:t>
            </w:r>
            <w:r w:rsidRPr="00BB7AFC">
              <w:rPr>
                <w:rFonts w:ascii="Times New Roman" w:eastAsia="Cambria" w:hAnsi="Times New Roman" w:cs="Times New Roman"/>
                <w:sz w:val="24"/>
                <w:szCs w:val="24"/>
              </w:rPr>
              <w:t xml:space="preserve">” </w:t>
            </w:r>
            <w:r w:rsidRPr="00F61965">
              <w:rPr>
                <w:rFonts w:ascii="Times New Roman" w:eastAsia="Cambria" w:hAnsi="Times New Roman" w:cs="Times New Roman"/>
                <w:sz w:val="24"/>
                <w:szCs w:val="24"/>
              </w:rPr>
              <w:t xml:space="preserve">means the amount of Facility Energy, expressed in MWh, in excess of the Curtailment Cap that the Facility would have produced and </w:t>
            </w:r>
            <w:r w:rsidRPr="00F61965">
              <w:rPr>
                <w:rFonts w:ascii="Times New Roman" w:hAnsi="Times New Roman" w:cs="Times New Roman"/>
                <w:sz w:val="24"/>
                <w:szCs w:val="24"/>
              </w:rPr>
              <w:t xml:space="preserve">delivered to </w:t>
            </w:r>
            <w:r w:rsidRPr="00F61965">
              <w:rPr>
                <w:rFonts w:ascii="Times New Roman" w:eastAsia="SimSun" w:hAnsi="Times New Roman" w:cs="Times New Roman"/>
                <w:color w:val="000000"/>
                <w:w w:val="0"/>
                <w:sz w:val="24"/>
                <w:szCs w:val="24"/>
              </w:rPr>
              <w:t>the Delivery Point</w:t>
            </w:r>
            <w:r w:rsidRPr="00F61965">
              <w:rPr>
                <w:rFonts w:ascii="Times New Roman" w:hAnsi="Times New Roman" w:cs="Times New Roman"/>
                <w:sz w:val="24"/>
                <w:szCs w:val="24"/>
              </w:rPr>
              <w:t xml:space="preserve">, but that is not produced by the Facility during a Buyer Curtailment Period, which amount shall be calculated using </w:t>
            </w:r>
            <w:r w:rsidR="0084307C">
              <w:rPr>
                <w:rFonts w:ascii="Times New Roman" w:hAnsi="Times New Roman" w:cs="Times New Roman"/>
                <w:sz w:val="24"/>
                <w:szCs w:val="24"/>
              </w:rPr>
              <w:t>(a</w:t>
            </w:r>
            <w:r w:rsidR="00F060B4" w:rsidRPr="00F060B4">
              <w:rPr>
                <w:rFonts w:ascii="Times New Roman" w:hAnsi="Times New Roman" w:cs="Times New Roman"/>
                <w:sz w:val="24"/>
                <w:szCs w:val="24"/>
              </w:rPr>
              <w:t>) the product</w:t>
            </w:r>
            <w:r w:rsidR="00F060B4" w:rsidRPr="00F060B4">
              <w:rPr>
                <w:rFonts w:ascii="Times New Roman" w:hAnsi="Times New Roman" w:cs="Times New Roman"/>
                <w:spacing w:val="57"/>
                <w:sz w:val="24"/>
                <w:szCs w:val="24"/>
              </w:rPr>
              <w:t xml:space="preserve"> </w:t>
            </w:r>
            <w:r w:rsidR="00F060B4" w:rsidRPr="00F060B4">
              <w:rPr>
                <w:rFonts w:ascii="Times New Roman" w:hAnsi="Times New Roman" w:cs="Times New Roman"/>
                <w:sz w:val="24"/>
                <w:szCs w:val="24"/>
              </w:rPr>
              <w:t>of (</w:t>
            </w:r>
            <w:proofErr w:type="spellStart"/>
            <w:r w:rsidR="00F060B4" w:rsidRPr="00F060B4">
              <w:rPr>
                <w:rFonts w:ascii="Times New Roman" w:hAnsi="Times New Roman" w:cs="Times New Roman"/>
                <w:sz w:val="24"/>
                <w:szCs w:val="24"/>
              </w:rPr>
              <w:t>i</w:t>
            </w:r>
            <w:proofErr w:type="spellEnd"/>
            <w:r w:rsidR="00F060B4" w:rsidRPr="00F060B4">
              <w:rPr>
                <w:rFonts w:ascii="Times New Roman" w:hAnsi="Times New Roman" w:cs="Times New Roman"/>
                <w:sz w:val="24"/>
                <w:szCs w:val="24"/>
              </w:rPr>
              <w:t>) the arithmetic</w:t>
            </w:r>
            <w:r w:rsidR="00F060B4" w:rsidRPr="00F060B4">
              <w:rPr>
                <w:rFonts w:ascii="Times New Roman" w:hAnsi="Times New Roman" w:cs="Times New Roman"/>
                <w:spacing w:val="58"/>
                <w:sz w:val="24"/>
                <w:szCs w:val="24"/>
              </w:rPr>
              <w:t xml:space="preserve"> </w:t>
            </w:r>
            <w:r w:rsidR="00F060B4" w:rsidRPr="00F060B4">
              <w:rPr>
                <w:rFonts w:ascii="Times New Roman" w:hAnsi="Times New Roman" w:cs="Times New Roman"/>
                <w:sz w:val="24"/>
                <w:szCs w:val="24"/>
              </w:rPr>
              <w:t>average</w:t>
            </w:r>
            <w:r w:rsidR="00F060B4" w:rsidRPr="00F060B4">
              <w:rPr>
                <w:rFonts w:ascii="Times New Roman" w:hAnsi="Times New Roman" w:cs="Times New Roman"/>
                <w:spacing w:val="57"/>
                <w:sz w:val="24"/>
                <w:szCs w:val="24"/>
              </w:rPr>
              <w:t xml:space="preserve"> </w:t>
            </w:r>
            <w:r w:rsidR="00F060B4" w:rsidRPr="00F060B4">
              <w:rPr>
                <w:rFonts w:ascii="Times New Roman" w:hAnsi="Times New Roman" w:cs="Times New Roman"/>
                <w:sz w:val="24"/>
                <w:szCs w:val="24"/>
              </w:rPr>
              <w:t>of the Facility’s metered</w:t>
            </w:r>
            <w:r w:rsidR="00F060B4" w:rsidRPr="00F060B4">
              <w:rPr>
                <w:rFonts w:ascii="Times New Roman" w:hAnsi="Times New Roman" w:cs="Times New Roman"/>
                <w:spacing w:val="58"/>
                <w:sz w:val="24"/>
                <w:szCs w:val="24"/>
              </w:rPr>
              <w:t xml:space="preserve"> </w:t>
            </w:r>
            <w:r w:rsidR="00F060B4" w:rsidRPr="00F060B4">
              <w:rPr>
                <w:rFonts w:ascii="Times New Roman" w:hAnsi="Times New Roman" w:cs="Times New Roman"/>
                <w:sz w:val="24"/>
                <w:szCs w:val="24"/>
              </w:rPr>
              <w:t>output</w:t>
            </w:r>
            <w:r w:rsidR="00F060B4" w:rsidRPr="00F060B4">
              <w:rPr>
                <w:rFonts w:ascii="Times New Roman" w:hAnsi="Times New Roman" w:cs="Times New Roman"/>
                <w:spacing w:val="1"/>
                <w:sz w:val="24"/>
                <w:szCs w:val="24"/>
              </w:rPr>
              <w:t xml:space="preserve"> </w:t>
            </w:r>
            <w:r w:rsidR="00F060B4" w:rsidRPr="00F060B4">
              <w:rPr>
                <w:rFonts w:ascii="Times New Roman" w:hAnsi="Times New Roman" w:cs="Times New Roman"/>
                <w:sz w:val="24"/>
                <w:szCs w:val="24"/>
              </w:rPr>
              <w:t>rate, in MW, immediately</w:t>
            </w:r>
            <w:r w:rsidR="00F060B4" w:rsidRPr="00F060B4">
              <w:rPr>
                <w:rFonts w:ascii="Times New Roman" w:hAnsi="Times New Roman" w:cs="Times New Roman"/>
                <w:spacing w:val="57"/>
                <w:sz w:val="24"/>
                <w:szCs w:val="24"/>
              </w:rPr>
              <w:t xml:space="preserve"> </w:t>
            </w:r>
            <w:r w:rsidR="00F060B4" w:rsidRPr="00F060B4">
              <w:rPr>
                <w:rFonts w:ascii="Times New Roman" w:hAnsi="Times New Roman" w:cs="Times New Roman"/>
                <w:sz w:val="24"/>
                <w:szCs w:val="24"/>
              </w:rPr>
              <w:t>before and after such Buyer Curtailment Period, as applicable, by (ii)</w:t>
            </w:r>
            <w:r w:rsidR="00F060B4" w:rsidRPr="00F060B4">
              <w:rPr>
                <w:rFonts w:ascii="Times New Roman" w:hAnsi="Times New Roman" w:cs="Times New Roman"/>
                <w:spacing w:val="1"/>
                <w:sz w:val="24"/>
                <w:szCs w:val="24"/>
              </w:rPr>
              <w:t xml:space="preserve"> </w:t>
            </w:r>
            <w:r w:rsidR="00F060B4" w:rsidRPr="00F060B4">
              <w:rPr>
                <w:rFonts w:ascii="Times New Roman" w:hAnsi="Times New Roman" w:cs="Times New Roman"/>
                <w:sz w:val="24"/>
                <w:szCs w:val="24"/>
              </w:rPr>
              <w:t>the duration of such Buyer Curtailment Period, as applicable</w:t>
            </w:r>
            <w:r w:rsidR="00CA4AB2">
              <w:rPr>
                <w:rFonts w:ascii="Times New Roman" w:hAnsi="Times New Roman" w:cs="Times New Roman"/>
                <w:sz w:val="24"/>
                <w:szCs w:val="24"/>
              </w:rPr>
              <w:t xml:space="preserve">, </w:t>
            </w:r>
            <w:r w:rsidRPr="00F61965">
              <w:rPr>
                <w:rFonts w:ascii="Times New Roman" w:hAnsi="Times New Roman" w:cs="Times New Roman"/>
                <w:sz w:val="24"/>
                <w:szCs w:val="24"/>
              </w:rPr>
              <w:t xml:space="preserve">less </w:t>
            </w:r>
            <w:r w:rsidR="0084307C">
              <w:rPr>
                <w:rFonts w:ascii="Times New Roman" w:hAnsi="Times New Roman" w:cs="Times New Roman"/>
                <w:sz w:val="24"/>
                <w:szCs w:val="24"/>
              </w:rPr>
              <w:t xml:space="preserve">(b) </w:t>
            </w:r>
            <w:r w:rsidRPr="00F61965">
              <w:rPr>
                <w:rFonts w:ascii="Times New Roman" w:hAnsi="Times New Roman" w:cs="Times New Roman"/>
                <w:sz w:val="24"/>
                <w:szCs w:val="24"/>
              </w:rPr>
              <w:t xml:space="preserve">the amount of Energy delivered to the Delivery Point during the Buyer Curtailment Period (or other relevant period); </w:t>
            </w:r>
            <w:r w:rsidRPr="00F61965">
              <w:rPr>
                <w:rFonts w:ascii="Times New Roman" w:hAnsi="Times New Roman" w:cs="Times New Roman"/>
                <w:i/>
                <w:iCs/>
                <w:sz w:val="24"/>
                <w:szCs w:val="24"/>
              </w:rPr>
              <w:t xml:space="preserve">provided </w:t>
            </w:r>
            <w:r w:rsidRPr="00F61965">
              <w:rPr>
                <w:rFonts w:ascii="Times New Roman" w:hAnsi="Times New Roman" w:cs="Times New Roman"/>
                <w:sz w:val="24"/>
                <w:szCs w:val="24"/>
              </w:rPr>
              <w:t xml:space="preserve">that, if the applicable difference is negative, the Deemed Delivered Energy shall be zero </w:t>
            </w:r>
            <w:bookmarkStart w:id="3" w:name="DocXTextRef48"/>
            <w:r w:rsidRPr="00F61965">
              <w:rPr>
                <w:rFonts w:ascii="Times New Roman" w:hAnsi="Times New Roman" w:cs="Times New Roman"/>
                <w:sz w:val="24"/>
                <w:szCs w:val="24"/>
              </w:rPr>
              <w:t>(0)</w:t>
            </w:r>
            <w:bookmarkEnd w:id="3"/>
            <w:r w:rsidRPr="00F61965">
              <w:rPr>
                <w:rFonts w:ascii="Times New Roman" w:hAnsi="Times New Roman" w:cs="Times New Roman"/>
                <w:sz w:val="24"/>
                <w:szCs w:val="24"/>
              </w:rPr>
              <w:t>.</w:t>
            </w:r>
          </w:p>
          <w:p w14:paraId="4220327E" w14:textId="5A8D18F9" w:rsidR="004123B0" w:rsidRDefault="004123B0" w:rsidP="004123B0">
            <w:pPr>
              <w:spacing w:after="120" w:line="240" w:lineRule="auto"/>
              <w:ind w:left="85" w:right="86"/>
              <w:jc w:val="both"/>
              <w:rPr>
                <w:rFonts w:ascii="Times New Roman" w:eastAsia="Cambria" w:hAnsi="Times New Roman"/>
                <w:sz w:val="24"/>
                <w:szCs w:val="24"/>
              </w:rPr>
            </w:pPr>
            <w:r w:rsidRPr="00BB7AFC">
              <w:rPr>
                <w:rFonts w:ascii="Times New Roman" w:eastAsia="Cambria" w:hAnsi="Times New Roman"/>
                <w:sz w:val="24"/>
                <w:szCs w:val="24"/>
              </w:rPr>
              <w:t>Seller shall receive no compensation from Buyer for (</w:t>
            </w:r>
            <w:proofErr w:type="spellStart"/>
            <w:r w:rsidRPr="00BB7AFC">
              <w:rPr>
                <w:rFonts w:ascii="Times New Roman" w:eastAsia="Cambria" w:hAnsi="Times New Roman"/>
                <w:sz w:val="24"/>
                <w:szCs w:val="24"/>
              </w:rPr>
              <w:t>i</w:t>
            </w:r>
            <w:proofErr w:type="spellEnd"/>
            <w:r w:rsidRPr="00BB7AFC">
              <w:rPr>
                <w:rFonts w:ascii="Times New Roman" w:eastAsia="Cambria" w:hAnsi="Times New Roman"/>
                <w:sz w:val="24"/>
                <w:szCs w:val="24"/>
              </w:rPr>
              <w:t xml:space="preserve">) </w:t>
            </w:r>
            <w:r w:rsidR="00265588">
              <w:rPr>
                <w:rFonts w:ascii="Times New Roman" w:eastAsia="Cambria" w:hAnsi="Times New Roman"/>
                <w:sz w:val="24"/>
                <w:szCs w:val="24"/>
              </w:rPr>
              <w:t xml:space="preserve">Delivered </w:t>
            </w:r>
            <w:r w:rsidRPr="00BB7AFC">
              <w:rPr>
                <w:rFonts w:ascii="Times New Roman" w:eastAsia="Cambria" w:hAnsi="Times New Roman"/>
                <w:sz w:val="24"/>
                <w:szCs w:val="24"/>
              </w:rPr>
              <w:t xml:space="preserve">Energy or Deemed Delivered Energy during any Curtailment Period and (ii) Deemed Delivered Energy in amounts below the Curtailment Cap.  </w:t>
            </w:r>
          </w:p>
          <w:p w14:paraId="097F2F7C" w14:textId="3E822F60" w:rsidR="004123B0" w:rsidRPr="00F61965" w:rsidRDefault="004123B0" w:rsidP="004123B0">
            <w:pPr>
              <w:spacing w:after="120" w:line="240" w:lineRule="auto"/>
              <w:ind w:left="85" w:right="86"/>
              <w:jc w:val="both"/>
              <w:rPr>
                <w:rFonts w:ascii="Times New Roman" w:eastAsia="Cambria" w:hAnsi="Times New Roman"/>
                <w:sz w:val="24"/>
                <w:szCs w:val="24"/>
              </w:rPr>
            </w:pPr>
            <w:r w:rsidRPr="003E334F">
              <w:rPr>
                <w:rFonts w:ascii="Times New Roman" w:hAnsi="Times New Roman"/>
                <w:sz w:val="24"/>
                <w:szCs w:val="24"/>
              </w:rPr>
              <w:t xml:space="preserve">If Seller fails to comply with a Buyer Curtailment Order, Buyer Bid Curtailment or Curtailment Order, then, for each MWh of Generating Facility Energy that is delivered by the Facility to the Delivery Point in contradiction to the Buyer Curtailment Order, Buyer Bid Curtailment or Curtailment Order, Seller shall pay Buyer for each such MWh at an amount equal to the sum of </w:t>
            </w:r>
            <w:bookmarkStart w:id="4" w:name="DocXTextRef172"/>
            <w:r w:rsidRPr="003E334F">
              <w:rPr>
                <w:rFonts w:ascii="Times New Roman" w:hAnsi="Times New Roman"/>
                <w:sz w:val="24"/>
                <w:szCs w:val="24"/>
              </w:rPr>
              <w:t>(A)</w:t>
            </w:r>
            <w:bookmarkEnd w:id="4"/>
            <w:r w:rsidRPr="003E334F">
              <w:rPr>
                <w:rFonts w:ascii="Times New Roman" w:hAnsi="Times New Roman"/>
                <w:sz w:val="24"/>
                <w:szCs w:val="24"/>
              </w:rPr>
              <w:t xml:space="preserve"> + </w:t>
            </w:r>
            <w:bookmarkStart w:id="5" w:name="DocXTextRef173"/>
            <w:r w:rsidRPr="003E334F">
              <w:rPr>
                <w:rFonts w:ascii="Times New Roman" w:hAnsi="Times New Roman"/>
                <w:sz w:val="24"/>
                <w:szCs w:val="24"/>
              </w:rPr>
              <w:t>(B)</w:t>
            </w:r>
            <w:bookmarkEnd w:id="5"/>
            <w:r w:rsidRPr="003E334F">
              <w:rPr>
                <w:rFonts w:ascii="Times New Roman" w:hAnsi="Times New Roman"/>
                <w:sz w:val="24"/>
                <w:szCs w:val="24"/>
              </w:rPr>
              <w:t xml:space="preserve"> + </w:t>
            </w:r>
            <w:bookmarkStart w:id="6" w:name="DocXTextRef174"/>
            <w:r w:rsidRPr="003E334F">
              <w:rPr>
                <w:rFonts w:ascii="Times New Roman" w:hAnsi="Times New Roman"/>
                <w:sz w:val="24"/>
                <w:szCs w:val="24"/>
              </w:rPr>
              <w:t>(C)</w:t>
            </w:r>
            <w:bookmarkEnd w:id="6"/>
            <w:r w:rsidRPr="003E334F">
              <w:rPr>
                <w:rFonts w:ascii="Times New Roman" w:hAnsi="Times New Roman"/>
                <w:sz w:val="24"/>
                <w:szCs w:val="24"/>
              </w:rPr>
              <w:t xml:space="preserve">, where: </w:t>
            </w:r>
            <w:bookmarkStart w:id="7" w:name="DocXTextRef175"/>
            <w:r w:rsidRPr="003E334F">
              <w:rPr>
                <w:rFonts w:ascii="Times New Roman" w:hAnsi="Times New Roman"/>
                <w:sz w:val="24"/>
                <w:szCs w:val="24"/>
              </w:rPr>
              <w:t>(A)</w:t>
            </w:r>
            <w:bookmarkEnd w:id="7"/>
            <w:r w:rsidRPr="003E334F">
              <w:rPr>
                <w:rFonts w:ascii="Times New Roman" w:hAnsi="Times New Roman"/>
                <w:sz w:val="24"/>
                <w:szCs w:val="24"/>
              </w:rPr>
              <w:t xml:space="preserve"> is the amount, if any, paid to Seller by Buyer for delivery of such excess MWh</w:t>
            </w:r>
            <w:r w:rsidR="004E655D">
              <w:rPr>
                <w:rFonts w:ascii="Times New Roman" w:hAnsi="Times New Roman"/>
                <w:sz w:val="24"/>
                <w:szCs w:val="24"/>
              </w:rPr>
              <w:t>,</w:t>
            </w:r>
            <w:r w:rsidRPr="003E334F">
              <w:rPr>
                <w:rFonts w:ascii="Times New Roman" w:hAnsi="Times New Roman"/>
                <w:sz w:val="24"/>
                <w:szCs w:val="24"/>
              </w:rPr>
              <w:t xml:space="preserve"> and </w:t>
            </w:r>
            <w:bookmarkStart w:id="8" w:name="DocXTextRef176"/>
            <w:r w:rsidRPr="003E334F">
              <w:rPr>
                <w:rFonts w:ascii="Times New Roman" w:hAnsi="Times New Roman"/>
                <w:sz w:val="24"/>
                <w:szCs w:val="24"/>
              </w:rPr>
              <w:t>(B)</w:t>
            </w:r>
            <w:bookmarkEnd w:id="8"/>
            <w:r w:rsidRPr="003E334F">
              <w:rPr>
                <w:rFonts w:ascii="Times New Roman" w:hAnsi="Times New Roman"/>
                <w:sz w:val="24"/>
                <w:szCs w:val="24"/>
              </w:rPr>
              <w:t xml:space="preserve"> is the sum, for all Settlement Intervals with a Negative LMP during the Buyer </w:t>
            </w:r>
            <w:r w:rsidRPr="003E334F">
              <w:rPr>
                <w:rFonts w:ascii="Times New Roman" w:hAnsi="Times New Roman"/>
                <w:sz w:val="24"/>
                <w:szCs w:val="24"/>
              </w:rPr>
              <w:lastRenderedPageBreak/>
              <w:t xml:space="preserve">Curtailment Period or Curtailment Period, of the absolute value of the product of such excess MWh in each Settlement Interval and the Negative LMP for such Settlement Interval, and </w:t>
            </w:r>
            <w:bookmarkStart w:id="9" w:name="DocXTextRef177"/>
            <w:r w:rsidRPr="003E334F">
              <w:rPr>
                <w:rFonts w:ascii="Times New Roman" w:hAnsi="Times New Roman"/>
                <w:sz w:val="24"/>
                <w:szCs w:val="24"/>
              </w:rPr>
              <w:t>(C)</w:t>
            </w:r>
            <w:bookmarkEnd w:id="9"/>
            <w:r w:rsidRPr="003E334F">
              <w:rPr>
                <w:rFonts w:ascii="Times New Roman" w:hAnsi="Times New Roman"/>
                <w:sz w:val="24"/>
                <w:szCs w:val="24"/>
              </w:rPr>
              <w:t xml:space="preserve"> is any penalties assessed by the CAISO or other charges assessed by the CAISO resulting from Seller’s failure to comply with the Buyer Curtailment Order, Buyer Bid Curtailment or Curtailment Order.</w:t>
            </w:r>
          </w:p>
        </w:tc>
      </w:tr>
      <w:bookmarkEnd w:id="0"/>
      <w:tr w:rsidR="00A1296E" w:rsidRPr="001727A0" w14:paraId="02432763" w14:textId="77777777" w:rsidTr="00A1296E">
        <w:tc>
          <w:tcPr>
            <w:tcW w:w="2070" w:type="dxa"/>
          </w:tcPr>
          <w:p w14:paraId="43635230" w14:textId="1AB3CC7C" w:rsidR="004123B0" w:rsidRPr="001727A0" w:rsidRDefault="004123B0" w:rsidP="004123B0">
            <w:pPr>
              <w:spacing w:before="120" w:after="120" w:line="240" w:lineRule="auto"/>
              <w:ind w:left="90" w:right="90"/>
              <w:rPr>
                <w:rFonts w:ascii="Times New Roman" w:hAnsi="Times New Roman"/>
                <w:b/>
                <w:color w:val="282828"/>
                <w:sz w:val="24"/>
                <w:szCs w:val="24"/>
              </w:rPr>
            </w:pPr>
            <w:r w:rsidRPr="001727A0">
              <w:rPr>
                <w:rFonts w:ascii="Times New Roman" w:hAnsi="Times New Roman"/>
                <w:b/>
                <w:color w:val="282828"/>
                <w:sz w:val="24"/>
                <w:szCs w:val="24"/>
              </w:rPr>
              <w:lastRenderedPageBreak/>
              <w:t xml:space="preserve"> Facility Outages:</w:t>
            </w:r>
          </w:p>
        </w:tc>
        <w:tc>
          <w:tcPr>
            <w:tcW w:w="7290" w:type="dxa"/>
          </w:tcPr>
          <w:p w14:paraId="23489348" w14:textId="31D869E9" w:rsidR="004123B0" w:rsidRPr="00D962D5" w:rsidRDefault="004123B0" w:rsidP="004123B0">
            <w:pPr>
              <w:pStyle w:val="00PlainText"/>
              <w:spacing w:before="120" w:after="120"/>
              <w:ind w:left="90" w:right="90"/>
              <w:rPr>
                <w:sz w:val="24"/>
              </w:rPr>
            </w:pPr>
            <w:r w:rsidRPr="001727A0">
              <w:rPr>
                <w:sz w:val="24"/>
              </w:rPr>
              <w:t xml:space="preserve">Seller shall schedule all Planned Outages within the </w:t>
            </w:r>
            <w:proofErr w:type="gramStart"/>
            <w:r w:rsidRPr="001727A0">
              <w:rPr>
                <w:sz w:val="24"/>
              </w:rPr>
              <w:t>time</w:t>
            </w:r>
            <w:r>
              <w:rPr>
                <w:sz w:val="24"/>
              </w:rPr>
              <w:t xml:space="preserve"> </w:t>
            </w:r>
            <w:r w:rsidRPr="001727A0">
              <w:rPr>
                <w:sz w:val="24"/>
              </w:rPr>
              <w:t>period</w:t>
            </w:r>
            <w:proofErr w:type="gramEnd"/>
            <w:r w:rsidRPr="001727A0">
              <w:rPr>
                <w:sz w:val="24"/>
              </w:rPr>
              <w:t xml:space="preserve"> determined by the CAISO to qualify for an “Approved Maintenance Outage” under the CAISO Tariff.  Seller shall reimburse Buyer for any cost Buyer incurs in connection with a Planned Outage including the cost of any replacement Capacity Attributes as required by the CAISO. </w:t>
            </w:r>
            <w:r w:rsidR="00D962D5" w:rsidRPr="00D962D5">
              <w:rPr>
                <w:sz w:val="24"/>
              </w:rPr>
              <w:t xml:space="preserve">Seller shall limit Planned Outage to </w:t>
            </w:r>
            <w:r w:rsidR="00D962D5" w:rsidRPr="003E334F">
              <w:rPr>
                <w:sz w:val="24"/>
              </w:rPr>
              <w:t>periods of the day when Seller does not reasonably believe the Facility will be dispatched.</w:t>
            </w:r>
          </w:p>
          <w:p w14:paraId="5454C158" w14:textId="54C6C4CC" w:rsidR="004123B0" w:rsidRPr="001727A0" w:rsidRDefault="004123B0" w:rsidP="004123B0">
            <w:pPr>
              <w:pStyle w:val="00PlainText"/>
              <w:spacing w:before="120" w:after="120"/>
              <w:ind w:left="90" w:right="90"/>
              <w:rPr>
                <w:sz w:val="24"/>
              </w:rPr>
            </w:pPr>
            <w:r w:rsidRPr="001727A0">
              <w:rPr>
                <w:sz w:val="24"/>
              </w:rPr>
              <w:t xml:space="preserve">No Planned Outages shall be scheduled from June 1 to October 31 during the Delivery Term, unless approved by Buyer in its sole discretion.  Seller shall provide RA Substitute Capacity as required by CAISO and failure to comply shall be deemed an RA shortfall for the purpose of calculating liquidated damages.  </w:t>
            </w:r>
          </w:p>
        </w:tc>
      </w:tr>
      <w:tr w:rsidR="00A1296E" w:rsidRPr="001727A0" w14:paraId="2EBFEBB7" w14:textId="3F82EB02" w:rsidTr="00A1296E">
        <w:tc>
          <w:tcPr>
            <w:tcW w:w="2070" w:type="dxa"/>
          </w:tcPr>
          <w:p w14:paraId="37684DDA" w14:textId="675C4D5F" w:rsidR="004123B0" w:rsidRPr="001727A0" w:rsidRDefault="004123B0" w:rsidP="004123B0">
            <w:pPr>
              <w:pStyle w:val="00PlainText"/>
              <w:spacing w:before="120" w:after="120"/>
              <w:ind w:left="90" w:right="90"/>
              <w:rPr>
                <w:b/>
                <w:bCs/>
                <w:sz w:val="24"/>
              </w:rPr>
            </w:pPr>
            <w:r w:rsidRPr="001727A0">
              <w:rPr>
                <w:b/>
                <w:color w:val="282828"/>
                <w:sz w:val="24"/>
              </w:rPr>
              <w:t>Compliance Expenditure Cap:</w:t>
            </w:r>
          </w:p>
        </w:tc>
        <w:tc>
          <w:tcPr>
            <w:tcW w:w="7290" w:type="dxa"/>
          </w:tcPr>
          <w:p w14:paraId="377F6E86" w14:textId="491F04B9" w:rsidR="004123B0" w:rsidRPr="001727A0" w:rsidRDefault="004123B0" w:rsidP="004123B0">
            <w:pPr>
              <w:pStyle w:val="00PlainText"/>
              <w:spacing w:before="120" w:after="120"/>
              <w:ind w:left="90" w:right="90"/>
              <w:rPr>
                <w:sz w:val="24"/>
              </w:rPr>
            </w:pPr>
            <w:r w:rsidRPr="001727A0">
              <w:rPr>
                <w:rFonts w:eastAsia="Times New Roman"/>
                <w:sz w:val="24"/>
              </w:rPr>
              <w:t xml:space="preserve">If a change in law occurring after the Effective Date increases Seller’s known or reasonably expected costs and expenses to comply with Seller’s obligations under the </w:t>
            </w:r>
            <w:r>
              <w:rPr>
                <w:rFonts w:eastAsia="Times New Roman"/>
                <w:sz w:val="24"/>
              </w:rPr>
              <w:t xml:space="preserve">Agreement </w:t>
            </w:r>
            <w:r w:rsidRPr="001727A0">
              <w:rPr>
                <w:rFonts w:eastAsia="Times New Roman"/>
                <w:sz w:val="24"/>
              </w:rPr>
              <w:t xml:space="preserve">with respect to obtaining, maintaining, conveying or effectuating Buyer’s use of Environmental Attributes or Capacity Attributes, the maximum aggregate amount of costs and expenses Seller shall be required to bear during the Delivery Term to comply with all such Compliance Actions shall be capped at </w:t>
            </w:r>
            <w:r w:rsidR="004653CB">
              <w:rPr>
                <w:rFonts w:eastAsia="Times New Roman"/>
                <w:sz w:val="24"/>
              </w:rPr>
              <w:t>$</w:t>
            </w:r>
            <w:r w:rsidR="00B00A27" w:rsidRPr="00FD0C5C">
              <w:rPr>
                <w:sz w:val="24"/>
                <w:highlight w:val="lightGray"/>
              </w:rPr>
              <w:t>[</w:t>
            </w:r>
            <w:r w:rsidR="004653CB">
              <w:rPr>
                <w:sz w:val="24"/>
                <w:highlight w:val="lightGray"/>
              </w:rPr>
              <w:t>__</w:t>
            </w:r>
            <w:r w:rsidR="00B00A27" w:rsidRPr="00FD0C5C">
              <w:rPr>
                <w:sz w:val="24"/>
                <w:highlight w:val="lightGray"/>
              </w:rPr>
              <w:t>]</w:t>
            </w:r>
            <w:r w:rsidR="00AC02A8" w:rsidRPr="008D53C5">
              <w:rPr>
                <w:rFonts w:eastAsia="Times New Roman"/>
                <w:color w:val="D0CECE" w:themeColor="background2" w:themeShade="E6"/>
              </w:rPr>
              <w:t xml:space="preserve"> </w:t>
            </w:r>
            <w:r w:rsidRPr="001727A0">
              <w:rPr>
                <w:rFonts w:eastAsia="Times New Roman"/>
                <w:sz w:val="24"/>
              </w:rPr>
              <w:t xml:space="preserve">per MW of Contract Capacity, in the aggregate over the term of the PPA.  If Buyer agrees to fund such Compliance Actions </w:t>
            </w:r>
            <w:proofErr w:type="gramStart"/>
            <w:r w:rsidRPr="001727A0">
              <w:rPr>
                <w:rFonts w:eastAsia="Times New Roman"/>
                <w:sz w:val="24"/>
              </w:rPr>
              <w:t>in excess of</w:t>
            </w:r>
            <w:proofErr w:type="gramEnd"/>
            <w:r w:rsidRPr="001727A0">
              <w:rPr>
                <w:rFonts w:eastAsia="Times New Roman"/>
                <w:sz w:val="24"/>
              </w:rPr>
              <w:t xml:space="preserve"> the foregoing limits, Seller shall take such actions.  </w:t>
            </w:r>
          </w:p>
        </w:tc>
      </w:tr>
      <w:tr w:rsidR="00A1296E" w:rsidRPr="001727A0" w14:paraId="08C3E01A" w14:textId="6412E37B" w:rsidTr="00A1296E">
        <w:tc>
          <w:tcPr>
            <w:tcW w:w="2070" w:type="dxa"/>
          </w:tcPr>
          <w:p w14:paraId="3359DB8C" w14:textId="6A15BB38" w:rsidR="004123B0" w:rsidRPr="001727A0" w:rsidRDefault="004123B0" w:rsidP="004123B0">
            <w:pPr>
              <w:spacing w:before="120" w:after="120" w:line="240" w:lineRule="auto"/>
              <w:ind w:left="90" w:right="90"/>
              <w:rPr>
                <w:rFonts w:ascii="Times New Roman" w:hAnsi="Times New Roman"/>
                <w:b/>
                <w:sz w:val="24"/>
                <w:szCs w:val="24"/>
              </w:rPr>
            </w:pPr>
            <w:r w:rsidRPr="001727A0">
              <w:rPr>
                <w:rFonts w:ascii="Times New Roman" w:hAnsi="Times New Roman"/>
                <w:b/>
                <w:color w:val="282828"/>
                <w:sz w:val="24"/>
                <w:szCs w:val="24"/>
              </w:rPr>
              <w:t xml:space="preserve">Seller Events of Default: </w:t>
            </w:r>
          </w:p>
        </w:tc>
        <w:tc>
          <w:tcPr>
            <w:tcW w:w="7290" w:type="dxa"/>
          </w:tcPr>
          <w:p w14:paraId="4367A6A6" w14:textId="4D0D154F" w:rsidR="004123B0" w:rsidRPr="001727A0" w:rsidRDefault="004123B0" w:rsidP="004123B0">
            <w:pPr>
              <w:pStyle w:val="00PlainText"/>
              <w:spacing w:before="120" w:after="120"/>
              <w:ind w:left="90" w:right="90"/>
              <w:rPr>
                <w:sz w:val="24"/>
              </w:rPr>
            </w:pPr>
            <w:r w:rsidRPr="001727A0">
              <w:rPr>
                <w:sz w:val="24"/>
              </w:rPr>
              <w:t>Seller Events of Default includes, but is not limited to, the occurrence of any of the following:</w:t>
            </w:r>
          </w:p>
          <w:p w14:paraId="67A86154" w14:textId="4E4555FC" w:rsidR="004123B0" w:rsidRPr="001727A0" w:rsidRDefault="004123B0" w:rsidP="004123B0">
            <w:pPr>
              <w:pStyle w:val="00PlainText"/>
              <w:numPr>
                <w:ilvl w:val="0"/>
                <w:numId w:val="18"/>
              </w:numPr>
              <w:spacing w:before="120" w:after="120"/>
              <w:ind w:left="453" w:right="90" w:hanging="364"/>
              <w:rPr>
                <w:sz w:val="24"/>
              </w:rPr>
            </w:pPr>
            <w:r w:rsidRPr="001727A0">
              <w:rPr>
                <w:sz w:val="24"/>
              </w:rPr>
              <w:t xml:space="preserve">in any consecutive six (6) month period, Adjusted Energy Production is not at least ten (10%) of Expected Energy, subject to a Cure Plan not to exceed one hundred eighty (180) </w:t>
            </w:r>
            <w:proofErr w:type="gramStart"/>
            <w:r w:rsidRPr="001727A0">
              <w:rPr>
                <w:sz w:val="24"/>
              </w:rPr>
              <w:t>days;</w:t>
            </w:r>
            <w:proofErr w:type="gramEnd"/>
          </w:p>
          <w:p w14:paraId="2F37A09F" w14:textId="52AF1434" w:rsidR="004123B0" w:rsidRPr="001727A0" w:rsidRDefault="004123B0" w:rsidP="004123B0">
            <w:pPr>
              <w:pStyle w:val="ListParagraph"/>
              <w:numPr>
                <w:ilvl w:val="0"/>
                <w:numId w:val="18"/>
              </w:numPr>
              <w:spacing w:after="120"/>
              <w:ind w:left="453" w:right="83" w:hanging="364"/>
              <w:jc w:val="both"/>
              <w:rPr>
                <w:rFonts w:ascii="Times New Roman" w:eastAsia="Cambria" w:hAnsi="Times New Roman" w:cs="Times New Roman"/>
                <w:sz w:val="24"/>
                <w:szCs w:val="24"/>
              </w:rPr>
            </w:pPr>
            <w:r w:rsidRPr="001727A0">
              <w:rPr>
                <w:rFonts w:ascii="Times New Roman" w:eastAsia="Cambria" w:hAnsi="Times New Roman" w:cs="Times New Roman"/>
                <w:sz w:val="24"/>
                <w:szCs w:val="24"/>
              </w:rPr>
              <w:t xml:space="preserve">in </w:t>
            </w:r>
            <w:r w:rsidRPr="00F412FF">
              <w:rPr>
                <w:rFonts w:ascii="Times New Roman" w:eastAsia="Cambria" w:hAnsi="Times New Roman" w:cs="Times New Roman"/>
                <w:sz w:val="24"/>
                <w:szCs w:val="24"/>
              </w:rPr>
              <w:t xml:space="preserve">any Contract Year, the Adjusted Energy Production amount is not at least </w:t>
            </w:r>
            <w:r w:rsidR="009259B2">
              <w:rPr>
                <w:rFonts w:ascii="Times New Roman" w:eastAsia="Cambria" w:hAnsi="Times New Roman" w:cs="Times New Roman"/>
                <w:sz w:val="24"/>
                <w:szCs w:val="24"/>
              </w:rPr>
              <w:t>sixty five percent (</w:t>
            </w:r>
            <w:r w:rsidR="00801C1B" w:rsidRPr="00F412FF">
              <w:rPr>
                <w:rFonts w:ascii="Times New Roman" w:eastAsia="Cambria" w:hAnsi="Times New Roman" w:cs="Times New Roman"/>
                <w:sz w:val="24"/>
                <w:szCs w:val="24"/>
              </w:rPr>
              <w:t>65%</w:t>
            </w:r>
            <w:r w:rsidR="009259B2">
              <w:rPr>
                <w:rFonts w:ascii="Times New Roman" w:eastAsia="Cambria" w:hAnsi="Times New Roman" w:cs="Times New Roman"/>
                <w:sz w:val="24"/>
                <w:szCs w:val="24"/>
              </w:rPr>
              <w:t>)</w:t>
            </w:r>
            <w:r w:rsidRPr="00F412FF">
              <w:rPr>
                <w:rFonts w:ascii="Times New Roman" w:eastAsia="Cambria" w:hAnsi="Times New Roman" w:cs="Times New Roman"/>
                <w:sz w:val="24"/>
                <w:szCs w:val="24"/>
              </w:rPr>
              <w:t xml:space="preserve"> of the</w:t>
            </w:r>
            <w:r w:rsidRPr="001727A0">
              <w:rPr>
                <w:rFonts w:ascii="Times New Roman" w:eastAsia="Cambria" w:hAnsi="Times New Roman" w:cs="Times New Roman"/>
                <w:sz w:val="24"/>
                <w:szCs w:val="24"/>
              </w:rPr>
              <w:t xml:space="preserve"> Expected Energy amount in such Contract </w:t>
            </w:r>
            <w:proofErr w:type="gramStart"/>
            <w:r w:rsidRPr="001727A0">
              <w:rPr>
                <w:rFonts w:ascii="Times New Roman" w:eastAsia="Cambria" w:hAnsi="Times New Roman" w:cs="Times New Roman"/>
                <w:sz w:val="24"/>
                <w:szCs w:val="24"/>
              </w:rPr>
              <w:t>Year;</w:t>
            </w:r>
            <w:proofErr w:type="gramEnd"/>
          </w:p>
          <w:p w14:paraId="2C92254A" w14:textId="0B56E82F" w:rsidR="004123B0" w:rsidRPr="001727A0" w:rsidRDefault="004123B0" w:rsidP="004123B0">
            <w:pPr>
              <w:pStyle w:val="ListParagraph"/>
              <w:numPr>
                <w:ilvl w:val="0"/>
                <w:numId w:val="18"/>
              </w:numPr>
              <w:spacing w:after="120"/>
              <w:ind w:left="453" w:right="83" w:hanging="364"/>
              <w:jc w:val="both"/>
              <w:rPr>
                <w:rFonts w:ascii="Times New Roman" w:eastAsia="Cambria" w:hAnsi="Times New Roman" w:cs="Times New Roman"/>
                <w:sz w:val="24"/>
                <w:szCs w:val="24"/>
              </w:rPr>
            </w:pPr>
            <w:r w:rsidRPr="001727A0">
              <w:rPr>
                <w:rFonts w:ascii="Times New Roman" w:eastAsia="Cambria" w:hAnsi="Times New Roman" w:cs="Times New Roman"/>
                <w:sz w:val="24"/>
                <w:szCs w:val="24"/>
              </w:rPr>
              <w:t xml:space="preserve">in any two (2) consecutive Contract Year period, the Adjusted Energy Production amount is not at least </w:t>
            </w:r>
            <w:r w:rsidR="00047DD2">
              <w:rPr>
                <w:rFonts w:ascii="Times New Roman" w:eastAsia="Cambria" w:hAnsi="Times New Roman" w:cs="Times New Roman"/>
                <w:sz w:val="24"/>
                <w:szCs w:val="24"/>
              </w:rPr>
              <w:t>eighty percent (</w:t>
            </w:r>
            <w:r w:rsidR="00F412FF">
              <w:rPr>
                <w:rFonts w:ascii="Times New Roman" w:eastAsia="Cambria" w:hAnsi="Times New Roman" w:cs="Times New Roman"/>
                <w:sz w:val="24"/>
                <w:szCs w:val="24"/>
              </w:rPr>
              <w:t>80%</w:t>
            </w:r>
            <w:r w:rsidR="00047DD2">
              <w:rPr>
                <w:rFonts w:ascii="Times New Roman" w:eastAsia="Cambria" w:hAnsi="Times New Roman" w:cs="Times New Roman"/>
                <w:sz w:val="24"/>
                <w:szCs w:val="24"/>
              </w:rPr>
              <w:t>)</w:t>
            </w:r>
            <w:r w:rsidR="00F412FF">
              <w:rPr>
                <w:rFonts w:ascii="Times New Roman" w:eastAsia="Cambria" w:hAnsi="Times New Roman" w:cs="Times New Roman"/>
                <w:sz w:val="24"/>
                <w:szCs w:val="24"/>
              </w:rPr>
              <w:t xml:space="preserve"> </w:t>
            </w:r>
            <w:r w:rsidRPr="001727A0">
              <w:rPr>
                <w:rFonts w:ascii="Times New Roman" w:eastAsia="Cambria" w:hAnsi="Times New Roman" w:cs="Times New Roman"/>
                <w:sz w:val="24"/>
                <w:szCs w:val="24"/>
              </w:rPr>
              <w:t xml:space="preserve">of the Expected Energy amount for such </w:t>
            </w:r>
            <w:r w:rsidR="00047DD2">
              <w:rPr>
                <w:rFonts w:ascii="Times New Roman" w:eastAsia="Cambria" w:hAnsi="Times New Roman" w:cs="Times New Roman"/>
                <w:sz w:val="24"/>
                <w:szCs w:val="24"/>
              </w:rPr>
              <w:t>two (</w:t>
            </w:r>
            <w:r w:rsidRPr="001727A0">
              <w:rPr>
                <w:rFonts w:ascii="Times New Roman" w:eastAsia="Cambria" w:hAnsi="Times New Roman" w:cs="Times New Roman"/>
                <w:sz w:val="24"/>
                <w:szCs w:val="24"/>
              </w:rPr>
              <w:t>2</w:t>
            </w:r>
            <w:r w:rsidR="00047DD2">
              <w:rPr>
                <w:rFonts w:ascii="Times New Roman" w:eastAsia="Cambria" w:hAnsi="Times New Roman" w:cs="Times New Roman"/>
                <w:sz w:val="24"/>
                <w:szCs w:val="24"/>
              </w:rPr>
              <w:t>)</w:t>
            </w:r>
            <w:r w:rsidRPr="001727A0">
              <w:rPr>
                <w:rFonts w:ascii="Times New Roman" w:eastAsia="Cambria" w:hAnsi="Times New Roman" w:cs="Times New Roman"/>
                <w:sz w:val="24"/>
                <w:szCs w:val="24"/>
              </w:rPr>
              <w:t xml:space="preserve"> year </w:t>
            </w:r>
            <w:proofErr w:type="gramStart"/>
            <w:r w:rsidRPr="001727A0">
              <w:rPr>
                <w:rFonts w:ascii="Times New Roman" w:eastAsia="Cambria" w:hAnsi="Times New Roman" w:cs="Times New Roman"/>
                <w:sz w:val="24"/>
                <w:szCs w:val="24"/>
              </w:rPr>
              <w:t>period;</w:t>
            </w:r>
            <w:proofErr w:type="gramEnd"/>
          </w:p>
          <w:p w14:paraId="19486127" w14:textId="2015F9F7" w:rsidR="004123B0" w:rsidRPr="001727A0" w:rsidRDefault="004123B0" w:rsidP="00F63E27">
            <w:pPr>
              <w:pStyle w:val="ListParagraph"/>
              <w:numPr>
                <w:ilvl w:val="0"/>
                <w:numId w:val="18"/>
              </w:numPr>
              <w:spacing w:after="120"/>
              <w:ind w:left="453" w:right="83" w:hanging="364"/>
              <w:jc w:val="both"/>
              <w:rPr>
                <w:rFonts w:ascii="Times New Roman" w:hAnsi="Times New Roman" w:cs="Times New Roman"/>
                <w:sz w:val="24"/>
                <w:szCs w:val="24"/>
              </w:rPr>
            </w:pPr>
            <w:r w:rsidRPr="001727A0">
              <w:rPr>
                <w:rFonts w:ascii="Times New Roman" w:eastAsia="Cambria" w:hAnsi="Times New Roman" w:cs="Times New Roman"/>
                <w:sz w:val="24"/>
                <w:szCs w:val="24"/>
              </w:rPr>
              <w:t xml:space="preserve">Construction Start is not achieved on or before the Guaranteed Construction Start Date or Commercial Operation is not achieved on </w:t>
            </w:r>
            <w:r w:rsidRPr="001727A0">
              <w:rPr>
                <w:rFonts w:ascii="Times New Roman" w:eastAsia="Cambria" w:hAnsi="Times New Roman" w:cs="Times New Roman"/>
                <w:sz w:val="24"/>
                <w:szCs w:val="24"/>
              </w:rPr>
              <w:lastRenderedPageBreak/>
              <w:t>or before the Guaranteed COD, as such dates may be extended under the PPA.</w:t>
            </w:r>
          </w:p>
        </w:tc>
      </w:tr>
      <w:tr w:rsidR="00A1296E" w:rsidRPr="001727A0" w14:paraId="3EB9C191" w14:textId="77777777" w:rsidTr="00A1296E">
        <w:tc>
          <w:tcPr>
            <w:tcW w:w="2070" w:type="dxa"/>
          </w:tcPr>
          <w:p w14:paraId="45CFA7F0" w14:textId="1F3823FC" w:rsidR="004123B0" w:rsidRPr="001727A0" w:rsidRDefault="004123B0" w:rsidP="004123B0">
            <w:pPr>
              <w:spacing w:before="120" w:after="120" w:line="240" w:lineRule="auto"/>
              <w:ind w:left="90" w:right="90"/>
              <w:rPr>
                <w:rFonts w:ascii="Times New Roman" w:hAnsi="Times New Roman"/>
                <w:b/>
                <w:color w:val="282828"/>
                <w:sz w:val="24"/>
                <w:szCs w:val="24"/>
              </w:rPr>
            </w:pPr>
            <w:r w:rsidRPr="001727A0">
              <w:rPr>
                <w:rFonts w:ascii="Times New Roman" w:hAnsi="Times New Roman"/>
                <w:b/>
                <w:color w:val="282828"/>
                <w:sz w:val="24"/>
                <w:szCs w:val="24"/>
              </w:rPr>
              <w:lastRenderedPageBreak/>
              <w:t>Remedies for Default</w:t>
            </w:r>
          </w:p>
        </w:tc>
        <w:tc>
          <w:tcPr>
            <w:tcW w:w="7290" w:type="dxa"/>
          </w:tcPr>
          <w:p w14:paraId="1815ED58" w14:textId="77777777" w:rsidR="004123B0" w:rsidRPr="001727A0" w:rsidRDefault="004123B0" w:rsidP="004123B0">
            <w:pPr>
              <w:pStyle w:val="00PlainText"/>
              <w:numPr>
                <w:ilvl w:val="0"/>
                <w:numId w:val="29"/>
              </w:numPr>
              <w:spacing w:before="120" w:after="120"/>
              <w:ind w:left="453" w:right="90"/>
              <w:rPr>
                <w:sz w:val="24"/>
              </w:rPr>
            </w:pPr>
            <w:r w:rsidRPr="001727A0">
              <w:rPr>
                <w:sz w:val="24"/>
              </w:rPr>
              <w:t>If the Agreement is terminated prior to the COD for a Seller Event of Default, Seller shall pay Buyer a Damage Payment in the amount of the Development Security and Buyer shall retain all amounts paid as Delay Damages.</w:t>
            </w:r>
          </w:p>
          <w:p w14:paraId="1BF6C0E2" w14:textId="0E6A0556" w:rsidR="004123B0" w:rsidRPr="001727A0" w:rsidRDefault="004123B0" w:rsidP="004123B0">
            <w:pPr>
              <w:pStyle w:val="00PlainText"/>
              <w:numPr>
                <w:ilvl w:val="0"/>
                <w:numId w:val="29"/>
              </w:numPr>
              <w:spacing w:before="120" w:after="120"/>
              <w:ind w:left="453" w:right="90"/>
              <w:rPr>
                <w:sz w:val="24"/>
              </w:rPr>
            </w:pPr>
            <w:r w:rsidRPr="001727A0">
              <w:rPr>
                <w:sz w:val="24"/>
              </w:rPr>
              <w:t>If the Agreement is terminated prior to the COD for (a) a Buyer Event of Default or (b) any Event of Default by either Party after the COD, the Defaulting Party shall owe a Termination Payment to the Non-Defaulting Party in the amount of the Non-Defaulting Party’s Gains minus Losses.  If the Termination Payment is negative, no damages shall be owed.</w:t>
            </w:r>
          </w:p>
          <w:p w14:paraId="4A6A895D" w14:textId="76532CA3" w:rsidR="004123B0" w:rsidRPr="001727A0" w:rsidRDefault="004123B0" w:rsidP="004123B0">
            <w:pPr>
              <w:pStyle w:val="00PlainText"/>
              <w:numPr>
                <w:ilvl w:val="0"/>
                <w:numId w:val="29"/>
              </w:numPr>
              <w:spacing w:before="120" w:after="120"/>
              <w:ind w:left="453" w:right="90"/>
              <w:rPr>
                <w:sz w:val="24"/>
              </w:rPr>
            </w:pPr>
            <w:r w:rsidRPr="001727A0">
              <w:rPr>
                <w:sz w:val="24"/>
              </w:rPr>
              <w:t xml:space="preserve">If the Agreement is terminated prior to the COD for any reason other than a Buyer Event of Default, for the two (2) year period following such termination, Seller and its Affiliates may not sell, market or deliver Product to any entity other than Buyer unless Seller first offers the Product to Buyer on terms materially similar to the terms and conditions in the Agreement, including price. </w:t>
            </w:r>
          </w:p>
        </w:tc>
      </w:tr>
    </w:tbl>
    <w:p w14:paraId="0DF80BB7" w14:textId="650CC736" w:rsidR="00D10D1D" w:rsidRPr="001727A0" w:rsidRDefault="00D10D1D" w:rsidP="0065395F">
      <w:pPr>
        <w:spacing w:after="120" w:line="240" w:lineRule="auto"/>
        <w:rPr>
          <w:rFonts w:ascii="Times New Roman" w:hAnsi="Times New Roman"/>
          <w:sz w:val="24"/>
          <w:szCs w:val="24"/>
        </w:rPr>
      </w:pPr>
    </w:p>
    <w:p w14:paraId="5B086EE0" w14:textId="3541A681" w:rsidR="006F54A7" w:rsidRPr="001727A0" w:rsidRDefault="006F54A7" w:rsidP="0065395F">
      <w:pPr>
        <w:autoSpaceDE w:val="0"/>
        <w:autoSpaceDN w:val="0"/>
        <w:adjustRightInd w:val="0"/>
        <w:spacing w:after="0" w:line="240" w:lineRule="auto"/>
        <w:rPr>
          <w:rFonts w:ascii="Times New Roman" w:hAnsi="Times New Roman"/>
          <w:b/>
          <w:bCs/>
          <w:color w:val="000000" w:themeColor="text1"/>
          <w:sz w:val="24"/>
          <w:szCs w:val="24"/>
        </w:rPr>
      </w:pPr>
      <w:r w:rsidRPr="001727A0">
        <w:rPr>
          <w:rFonts w:ascii="Times New Roman" w:hAnsi="Times New Roman"/>
          <w:b/>
          <w:bCs/>
          <w:color w:val="000000" w:themeColor="text1"/>
          <w:sz w:val="24"/>
          <w:szCs w:val="24"/>
        </w:rPr>
        <w:t>2.</w:t>
      </w:r>
      <w:r w:rsidRPr="001727A0">
        <w:rPr>
          <w:rFonts w:ascii="Times New Roman" w:hAnsi="Times New Roman"/>
          <w:b/>
          <w:bCs/>
          <w:color w:val="000000" w:themeColor="text1"/>
          <w:sz w:val="24"/>
          <w:szCs w:val="24"/>
        </w:rPr>
        <w:tab/>
        <w:t>Additional Term Sheet Provisions</w:t>
      </w:r>
      <w:r w:rsidR="005B26E0" w:rsidRPr="001727A0">
        <w:rPr>
          <w:rFonts w:ascii="Times New Roman" w:hAnsi="Times New Roman"/>
          <w:b/>
          <w:bCs/>
          <w:color w:val="000000" w:themeColor="text1"/>
          <w:sz w:val="24"/>
          <w:szCs w:val="24"/>
        </w:rPr>
        <w:t>.</w:t>
      </w:r>
    </w:p>
    <w:p w14:paraId="6D927119" w14:textId="77777777" w:rsidR="006F54A7" w:rsidRPr="001727A0" w:rsidRDefault="006F54A7" w:rsidP="0065395F">
      <w:pPr>
        <w:autoSpaceDE w:val="0"/>
        <w:autoSpaceDN w:val="0"/>
        <w:adjustRightInd w:val="0"/>
        <w:spacing w:after="0" w:line="240" w:lineRule="auto"/>
        <w:rPr>
          <w:rFonts w:ascii="Times New Roman" w:hAnsi="Times New Roman"/>
          <w:b/>
          <w:bCs/>
          <w:color w:val="000000" w:themeColor="text1"/>
          <w:sz w:val="24"/>
          <w:szCs w:val="24"/>
        </w:rPr>
      </w:pPr>
    </w:p>
    <w:p w14:paraId="121A4D35" w14:textId="55F861F5" w:rsidR="00D11390" w:rsidRPr="001727A0" w:rsidRDefault="006F54A7" w:rsidP="00360E06">
      <w:pPr>
        <w:pStyle w:val="ListParagraph"/>
        <w:numPr>
          <w:ilvl w:val="0"/>
          <w:numId w:val="16"/>
        </w:numPr>
        <w:autoSpaceDE w:val="0"/>
        <w:autoSpaceDN w:val="0"/>
        <w:adjustRightInd w:val="0"/>
        <w:ind w:left="0" w:firstLine="720"/>
        <w:jc w:val="both"/>
        <w:rPr>
          <w:rFonts w:ascii="Times New Roman" w:hAnsi="Times New Roman" w:cs="Times New Roman"/>
          <w:color w:val="000000" w:themeColor="text1"/>
          <w:sz w:val="24"/>
          <w:szCs w:val="24"/>
        </w:rPr>
      </w:pPr>
      <w:r w:rsidRPr="001727A0">
        <w:rPr>
          <w:rFonts w:ascii="Times New Roman" w:hAnsi="Times New Roman" w:cs="Times New Roman"/>
          <w:b/>
          <w:bCs/>
          <w:color w:val="000000" w:themeColor="text1"/>
          <w:sz w:val="24"/>
          <w:szCs w:val="24"/>
        </w:rPr>
        <w:t>N</w:t>
      </w:r>
      <w:r w:rsidR="000D4C0D" w:rsidRPr="001727A0">
        <w:rPr>
          <w:rFonts w:ascii="Times New Roman" w:hAnsi="Times New Roman" w:cs="Times New Roman"/>
          <w:b/>
          <w:bCs/>
          <w:color w:val="000000" w:themeColor="text1"/>
          <w:sz w:val="24"/>
          <w:szCs w:val="24"/>
        </w:rPr>
        <w:t xml:space="preserve">o </w:t>
      </w:r>
      <w:r w:rsidRPr="001727A0">
        <w:rPr>
          <w:rFonts w:ascii="Times New Roman" w:hAnsi="Times New Roman" w:cs="Times New Roman"/>
          <w:b/>
          <w:bCs/>
          <w:color w:val="000000" w:themeColor="text1"/>
          <w:sz w:val="24"/>
          <w:szCs w:val="24"/>
        </w:rPr>
        <w:t>Obligat</w:t>
      </w:r>
      <w:r w:rsidR="00B46ECC" w:rsidRPr="001727A0">
        <w:rPr>
          <w:rFonts w:ascii="Times New Roman" w:hAnsi="Times New Roman" w:cs="Times New Roman"/>
          <w:b/>
          <w:bCs/>
          <w:color w:val="000000" w:themeColor="text1"/>
          <w:sz w:val="24"/>
          <w:szCs w:val="24"/>
        </w:rPr>
        <w:t>ion</w:t>
      </w:r>
      <w:r w:rsidRPr="001727A0">
        <w:rPr>
          <w:rFonts w:ascii="Times New Roman" w:hAnsi="Times New Roman" w:cs="Times New Roman"/>
          <w:b/>
          <w:bCs/>
          <w:color w:val="000000" w:themeColor="text1"/>
          <w:sz w:val="24"/>
          <w:szCs w:val="24"/>
        </w:rPr>
        <w:t xml:space="preserve"> to Enter </w:t>
      </w:r>
      <w:r w:rsidR="00B13DBD">
        <w:rPr>
          <w:rFonts w:ascii="Times New Roman" w:hAnsi="Times New Roman" w:cs="Times New Roman"/>
          <w:b/>
          <w:bCs/>
          <w:color w:val="000000" w:themeColor="text1"/>
          <w:sz w:val="24"/>
          <w:szCs w:val="24"/>
        </w:rPr>
        <w:t>i</w:t>
      </w:r>
      <w:r w:rsidRPr="001727A0">
        <w:rPr>
          <w:rFonts w:ascii="Times New Roman" w:hAnsi="Times New Roman" w:cs="Times New Roman"/>
          <w:b/>
          <w:bCs/>
          <w:color w:val="000000" w:themeColor="text1"/>
          <w:sz w:val="24"/>
          <w:szCs w:val="24"/>
        </w:rPr>
        <w:t>nto Proposed Transaction</w:t>
      </w:r>
      <w:r w:rsidRPr="001727A0">
        <w:rPr>
          <w:rFonts w:ascii="Times New Roman" w:hAnsi="Times New Roman" w:cs="Times New Roman"/>
          <w:color w:val="000000" w:themeColor="text1"/>
          <w:sz w:val="24"/>
          <w:szCs w:val="24"/>
        </w:rPr>
        <w:t xml:space="preserve">. This Term Sheet is intended to provide an overview of the Proposed Transaction and is not intended to constitute a binding contract or an offer to </w:t>
      </w:r>
      <w:proofErr w:type="gramStart"/>
      <w:r w:rsidRPr="001727A0">
        <w:rPr>
          <w:rFonts w:ascii="Times New Roman" w:hAnsi="Times New Roman" w:cs="Times New Roman"/>
          <w:color w:val="000000" w:themeColor="text1"/>
          <w:sz w:val="24"/>
          <w:szCs w:val="24"/>
        </w:rPr>
        <w:t>enter into</w:t>
      </w:r>
      <w:proofErr w:type="gramEnd"/>
      <w:r w:rsidRPr="001727A0">
        <w:rPr>
          <w:rFonts w:ascii="Times New Roman" w:hAnsi="Times New Roman" w:cs="Times New Roman"/>
          <w:color w:val="000000" w:themeColor="text1"/>
          <w:sz w:val="24"/>
          <w:szCs w:val="24"/>
        </w:rPr>
        <w:t xml:space="preserve"> a</w:t>
      </w:r>
      <w:r w:rsidR="001E3399" w:rsidRPr="001727A0">
        <w:rPr>
          <w:rFonts w:ascii="Times New Roman" w:hAnsi="Times New Roman" w:cs="Times New Roman"/>
          <w:color w:val="000000" w:themeColor="text1"/>
          <w:sz w:val="24"/>
          <w:szCs w:val="24"/>
        </w:rPr>
        <w:t xml:space="preserve"> </w:t>
      </w:r>
      <w:r w:rsidR="003971A2" w:rsidRPr="001727A0">
        <w:rPr>
          <w:rFonts w:ascii="Times New Roman" w:hAnsi="Times New Roman" w:cs="Times New Roman"/>
          <w:color w:val="000000" w:themeColor="text1"/>
          <w:sz w:val="24"/>
          <w:szCs w:val="24"/>
        </w:rPr>
        <w:t xml:space="preserve">PPA </w:t>
      </w:r>
      <w:r w:rsidRPr="001727A0">
        <w:rPr>
          <w:rFonts w:ascii="Times New Roman" w:hAnsi="Times New Roman" w:cs="Times New Roman"/>
          <w:color w:val="000000" w:themeColor="text1"/>
          <w:sz w:val="24"/>
          <w:szCs w:val="24"/>
        </w:rPr>
        <w:t xml:space="preserve">with respect to the Proposed Transaction and does not </w:t>
      </w:r>
      <w:proofErr w:type="gramStart"/>
      <w:r w:rsidRPr="001727A0">
        <w:rPr>
          <w:rFonts w:ascii="Times New Roman" w:hAnsi="Times New Roman" w:cs="Times New Roman"/>
          <w:color w:val="000000" w:themeColor="text1"/>
          <w:sz w:val="24"/>
          <w:szCs w:val="24"/>
        </w:rPr>
        <w:t>obligate</w:t>
      </w:r>
      <w:proofErr w:type="gramEnd"/>
      <w:r w:rsidRPr="001727A0">
        <w:rPr>
          <w:rFonts w:ascii="Times New Roman" w:hAnsi="Times New Roman" w:cs="Times New Roman"/>
          <w:color w:val="000000" w:themeColor="text1"/>
          <w:sz w:val="24"/>
          <w:szCs w:val="24"/>
        </w:rPr>
        <w:t xml:space="preserve"> </w:t>
      </w:r>
      <w:r w:rsidR="000D4C0D" w:rsidRPr="001727A0">
        <w:rPr>
          <w:rFonts w:ascii="Times New Roman" w:hAnsi="Times New Roman" w:cs="Times New Roman"/>
          <w:color w:val="000000" w:themeColor="text1"/>
          <w:sz w:val="24"/>
          <w:szCs w:val="24"/>
        </w:rPr>
        <w:t>any</w:t>
      </w:r>
      <w:r w:rsidRPr="001727A0">
        <w:rPr>
          <w:rFonts w:ascii="Times New Roman" w:hAnsi="Times New Roman" w:cs="Times New Roman"/>
          <w:color w:val="000000" w:themeColor="text1"/>
          <w:sz w:val="24"/>
          <w:szCs w:val="24"/>
        </w:rPr>
        <w:t xml:space="preserve"> Party to </w:t>
      </w:r>
      <w:proofErr w:type="gramStart"/>
      <w:r w:rsidRPr="001727A0">
        <w:rPr>
          <w:rFonts w:ascii="Times New Roman" w:hAnsi="Times New Roman" w:cs="Times New Roman"/>
          <w:color w:val="000000" w:themeColor="text1"/>
          <w:sz w:val="24"/>
          <w:szCs w:val="24"/>
        </w:rPr>
        <w:t>enter into</w:t>
      </w:r>
      <w:proofErr w:type="gramEnd"/>
      <w:r w:rsidRPr="001727A0">
        <w:rPr>
          <w:rFonts w:ascii="Times New Roman" w:hAnsi="Times New Roman" w:cs="Times New Roman"/>
          <w:color w:val="000000" w:themeColor="text1"/>
          <w:sz w:val="24"/>
          <w:szCs w:val="24"/>
        </w:rPr>
        <w:t xml:space="preserve"> the Proposed Transaction or execute any agreement, including the </w:t>
      </w:r>
      <w:r w:rsidR="003971A2" w:rsidRPr="001727A0">
        <w:rPr>
          <w:rFonts w:ascii="Times New Roman" w:hAnsi="Times New Roman" w:cs="Times New Roman"/>
          <w:color w:val="000000" w:themeColor="text1"/>
          <w:sz w:val="24"/>
          <w:szCs w:val="24"/>
        </w:rPr>
        <w:t>PPA</w:t>
      </w:r>
      <w:r w:rsidRPr="001727A0">
        <w:rPr>
          <w:rFonts w:ascii="Times New Roman" w:hAnsi="Times New Roman" w:cs="Times New Roman"/>
          <w:color w:val="000000" w:themeColor="text1"/>
          <w:sz w:val="24"/>
          <w:szCs w:val="24"/>
        </w:rPr>
        <w:t xml:space="preserve">, in connection with the Proposed Transaction. </w:t>
      </w:r>
      <w:r w:rsidR="00C82E50" w:rsidRPr="001727A0">
        <w:rPr>
          <w:rFonts w:ascii="Times New Roman" w:hAnsi="Times New Roman" w:cs="Times New Roman"/>
          <w:color w:val="000000" w:themeColor="text1"/>
          <w:sz w:val="24"/>
          <w:szCs w:val="24"/>
        </w:rPr>
        <w:t xml:space="preserve">Neither Buyer nor Seller will be deemed to have agreed to the </w:t>
      </w:r>
      <w:r w:rsidR="00D11390" w:rsidRPr="001727A0">
        <w:rPr>
          <w:rFonts w:ascii="Times New Roman" w:hAnsi="Times New Roman" w:cs="Times New Roman"/>
          <w:color w:val="000000" w:themeColor="text1"/>
          <w:sz w:val="24"/>
          <w:szCs w:val="24"/>
        </w:rPr>
        <w:t>PPA</w:t>
      </w:r>
      <w:r w:rsidR="00C82E50" w:rsidRPr="001727A0">
        <w:rPr>
          <w:rFonts w:ascii="Times New Roman" w:hAnsi="Times New Roman" w:cs="Times New Roman"/>
          <w:color w:val="000000" w:themeColor="text1"/>
          <w:sz w:val="24"/>
          <w:szCs w:val="24"/>
        </w:rPr>
        <w:t xml:space="preserve"> and will not be bound by any term thereof, unless and until authorized representatives of both Buyer and Seller execute final definitive documents, enforceable in accordance with their terms</w:t>
      </w:r>
      <w:r w:rsidRPr="001727A0">
        <w:rPr>
          <w:rFonts w:ascii="Times New Roman" w:hAnsi="Times New Roman" w:cs="Times New Roman"/>
          <w:color w:val="000000" w:themeColor="text1"/>
          <w:sz w:val="24"/>
          <w:szCs w:val="24"/>
        </w:rPr>
        <w:t>.</w:t>
      </w:r>
    </w:p>
    <w:p w14:paraId="31DAB456" w14:textId="77777777" w:rsidR="00D11390" w:rsidRPr="001727A0" w:rsidRDefault="00D11390" w:rsidP="006A4BD3">
      <w:pPr>
        <w:pStyle w:val="ListParagraph"/>
        <w:autoSpaceDE w:val="0"/>
        <w:autoSpaceDN w:val="0"/>
        <w:adjustRightInd w:val="0"/>
        <w:ind w:left="360"/>
        <w:jc w:val="both"/>
        <w:rPr>
          <w:rFonts w:ascii="Times New Roman" w:hAnsi="Times New Roman" w:cs="Times New Roman"/>
          <w:color w:val="000000" w:themeColor="text1"/>
          <w:sz w:val="24"/>
          <w:szCs w:val="24"/>
        </w:rPr>
      </w:pPr>
    </w:p>
    <w:p w14:paraId="45894467" w14:textId="5D8F11B9" w:rsidR="006F54A7" w:rsidRPr="001727A0" w:rsidRDefault="006F54A7" w:rsidP="006A4BD3">
      <w:pPr>
        <w:pStyle w:val="ListParagraph"/>
        <w:numPr>
          <w:ilvl w:val="0"/>
          <w:numId w:val="16"/>
        </w:numPr>
        <w:autoSpaceDE w:val="0"/>
        <w:autoSpaceDN w:val="0"/>
        <w:adjustRightInd w:val="0"/>
        <w:ind w:left="0" w:firstLine="720"/>
        <w:jc w:val="both"/>
        <w:rPr>
          <w:rFonts w:ascii="Times New Roman" w:hAnsi="Times New Roman" w:cs="Times New Roman"/>
          <w:sz w:val="24"/>
          <w:szCs w:val="24"/>
        </w:rPr>
      </w:pPr>
      <w:r w:rsidRPr="001727A0">
        <w:rPr>
          <w:rFonts w:ascii="Times New Roman" w:hAnsi="Times New Roman" w:cs="Times New Roman"/>
          <w:b/>
          <w:sz w:val="24"/>
          <w:szCs w:val="24"/>
        </w:rPr>
        <w:t>Other Agreements</w:t>
      </w:r>
      <w:r w:rsidRPr="001727A0">
        <w:rPr>
          <w:rFonts w:ascii="Times New Roman" w:hAnsi="Times New Roman" w:cs="Times New Roman"/>
          <w:sz w:val="24"/>
          <w:szCs w:val="24"/>
        </w:rPr>
        <w:t xml:space="preserve">. In connection with this Term Sheet, </w:t>
      </w:r>
      <w:r w:rsidR="0047310A" w:rsidRPr="001727A0">
        <w:rPr>
          <w:rFonts w:ascii="Times New Roman" w:hAnsi="Times New Roman" w:cs="Times New Roman"/>
          <w:sz w:val="24"/>
          <w:szCs w:val="24"/>
        </w:rPr>
        <w:t>Respondent</w:t>
      </w:r>
      <w:r w:rsidRPr="001727A0">
        <w:rPr>
          <w:rFonts w:ascii="Times New Roman" w:hAnsi="Times New Roman" w:cs="Times New Roman"/>
          <w:sz w:val="24"/>
          <w:szCs w:val="24"/>
        </w:rPr>
        <w:t xml:space="preserve"> shall execute that certain </w:t>
      </w:r>
      <w:r w:rsidR="00C54AE5" w:rsidRPr="001727A0">
        <w:rPr>
          <w:rFonts w:ascii="Times New Roman" w:hAnsi="Times New Roman" w:cs="Times New Roman"/>
          <w:sz w:val="24"/>
          <w:szCs w:val="24"/>
        </w:rPr>
        <w:t>Exclusivity</w:t>
      </w:r>
      <w:r w:rsidR="007C4202" w:rsidRPr="001727A0">
        <w:rPr>
          <w:rFonts w:ascii="Times New Roman" w:hAnsi="Times New Roman" w:cs="Times New Roman"/>
          <w:sz w:val="24"/>
          <w:szCs w:val="24"/>
        </w:rPr>
        <w:t xml:space="preserve"> Agreement </w:t>
      </w:r>
      <w:r w:rsidRPr="001727A0">
        <w:rPr>
          <w:rFonts w:ascii="Times New Roman" w:hAnsi="Times New Roman" w:cs="Times New Roman"/>
          <w:sz w:val="24"/>
          <w:szCs w:val="24"/>
        </w:rPr>
        <w:t>(“</w:t>
      </w:r>
      <w:r w:rsidRPr="001727A0">
        <w:rPr>
          <w:rFonts w:ascii="Times New Roman" w:hAnsi="Times New Roman" w:cs="Times New Roman"/>
          <w:b/>
          <w:sz w:val="24"/>
          <w:szCs w:val="24"/>
          <w:u w:val="single"/>
        </w:rPr>
        <w:t>Exclusivity Agreement</w:t>
      </w:r>
      <w:r w:rsidRPr="001727A0">
        <w:rPr>
          <w:rFonts w:ascii="Times New Roman" w:hAnsi="Times New Roman" w:cs="Times New Roman"/>
          <w:sz w:val="24"/>
          <w:szCs w:val="24"/>
        </w:rPr>
        <w:t>”).</w:t>
      </w:r>
    </w:p>
    <w:p w14:paraId="3E11FB9C" w14:textId="77777777" w:rsidR="006F54A7" w:rsidRPr="001727A0" w:rsidRDefault="006F54A7" w:rsidP="0065395F">
      <w:pPr>
        <w:spacing w:after="0" w:line="240" w:lineRule="auto"/>
        <w:jc w:val="both"/>
        <w:rPr>
          <w:rFonts w:ascii="Times New Roman" w:hAnsi="Times New Roman"/>
          <w:color w:val="000000" w:themeColor="text1"/>
          <w:sz w:val="24"/>
          <w:szCs w:val="24"/>
        </w:rPr>
      </w:pPr>
    </w:p>
    <w:p w14:paraId="52EE617E" w14:textId="77777777" w:rsidR="006F54A7" w:rsidRPr="001727A0" w:rsidRDefault="006F54A7" w:rsidP="006A4BD3">
      <w:pPr>
        <w:pStyle w:val="ListParagraph"/>
        <w:numPr>
          <w:ilvl w:val="0"/>
          <w:numId w:val="16"/>
        </w:numPr>
        <w:autoSpaceDE w:val="0"/>
        <w:autoSpaceDN w:val="0"/>
        <w:adjustRightInd w:val="0"/>
        <w:ind w:left="0" w:firstLine="720"/>
        <w:jc w:val="both"/>
        <w:rPr>
          <w:rFonts w:ascii="Times New Roman" w:hAnsi="Times New Roman" w:cs="Times New Roman"/>
          <w:color w:val="000000" w:themeColor="text1"/>
          <w:sz w:val="24"/>
          <w:szCs w:val="24"/>
        </w:rPr>
      </w:pPr>
      <w:r w:rsidRPr="001727A0">
        <w:rPr>
          <w:rFonts w:ascii="Times New Roman" w:hAnsi="Times New Roman" w:cs="Times New Roman"/>
          <w:b/>
          <w:bCs/>
          <w:color w:val="000000" w:themeColor="text1"/>
          <w:sz w:val="24"/>
          <w:szCs w:val="24"/>
        </w:rPr>
        <w:t>Expenses</w:t>
      </w:r>
      <w:r w:rsidRPr="001727A0">
        <w:rPr>
          <w:rFonts w:ascii="Times New Roman" w:hAnsi="Times New Roman" w:cs="Times New Roman"/>
          <w:color w:val="000000" w:themeColor="text1"/>
          <w:sz w:val="24"/>
          <w:szCs w:val="24"/>
        </w:rPr>
        <w:t>. Each Party will pay its own costs and expenses (whether internal or out-of-pocket, and whether for legal, financial, technical or other consultants, or other purposes) in connection with the Term Sheet and any definitive agreements.</w:t>
      </w:r>
    </w:p>
    <w:p w14:paraId="1E1F061A" w14:textId="77777777" w:rsidR="006F54A7" w:rsidRPr="001727A0" w:rsidRDefault="006F54A7" w:rsidP="0065395F">
      <w:pPr>
        <w:autoSpaceDE w:val="0"/>
        <w:autoSpaceDN w:val="0"/>
        <w:adjustRightInd w:val="0"/>
        <w:spacing w:after="0" w:line="240" w:lineRule="auto"/>
        <w:jc w:val="both"/>
        <w:rPr>
          <w:rFonts w:ascii="Times New Roman" w:hAnsi="Times New Roman"/>
          <w:color w:val="000000" w:themeColor="text1"/>
          <w:sz w:val="24"/>
          <w:szCs w:val="24"/>
        </w:rPr>
      </w:pPr>
    </w:p>
    <w:p w14:paraId="2739D96E" w14:textId="58755F13" w:rsidR="006F54A7" w:rsidRPr="001727A0" w:rsidRDefault="006F54A7" w:rsidP="006A4BD3">
      <w:pPr>
        <w:pStyle w:val="ListParagraph"/>
        <w:numPr>
          <w:ilvl w:val="0"/>
          <w:numId w:val="16"/>
        </w:numPr>
        <w:autoSpaceDE w:val="0"/>
        <w:autoSpaceDN w:val="0"/>
        <w:adjustRightInd w:val="0"/>
        <w:ind w:left="0" w:firstLine="720"/>
        <w:jc w:val="both"/>
        <w:rPr>
          <w:rFonts w:ascii="Times New Roman" w:hAnsi="Times New Roman" w:cs="Times New Roman"/>
          <w:color w:val="000000" w:themeColor="text1"/>
          <w:sz w:val="24"/>
          <w:szCs w:val="24"/>
        </w:rPr>
      </w:pPr>
      <w:r w:rsidRPr="001727A0">
        <w:rPr>
          <w:rFonts w:ascii="Times New Roman" w:hAnsi="Times New Roman" w:cs="Times New Roman"/>
          <w:b/>
          <w:bCs/>
          <w:color w:val="000000" w:themeColor="text1"/>
          <w:sz w:val="24"/>
          <w:szCs w:val="24"/>
        </w:rPr>
        <w:t>Termination</w:t>
      </w:r>
      <w:r w:rsidRPr="001727A0">
        <w:rPr>
          <w:rFonts w:ascii="Times New Roman" w:hAnsi="Times New Roman" w:cs="Times New Roman"/>
          <w:color w:val="000000" w:themeColor="text1"/>
          <w:sz w:val="24"/>
          <w:szCs w:val="24"/>
        </w:rPr>
        <w:t xml:space="preserve">. This Term Sheet will terminate upon the earlier of (a) execution of the </w:t>
      </w:r>
      <w:r w:rsidR="007C4202" w:rsidRPr="001727A0">
        <w:rPr>
          <w:rFonts w:ascii="Times New Roman" w:hAnsi="Times New Roman" w:cs="Times New Roman"/>
          <w:color w:val="000000" w:themeColor="text1"/>
          <w:sz w:val="24"/>
          <w:szCs w:val="24"/>
        </w:rPr>
        <w:t>PPA</w:t>
      </w:r>
      <w:r w:rsidRPr="001727A0">
        <w:rPr>
          <w:rFonts w:ascii="Times New Roman" w:hAnsi="Times New Roman" w:cs="Times New Roman"/>
          <w:color w:val="000000" w:themeColor="text1"/>
          <w:sz w:val="24"/>
          <w:szCs w:val="24"/>
        </w:rPr>
        <w:t xml:space="preserve"> or (b) expiration of the </w:t>
      </w:r>
      <w:r w:rsidR="00C54AE5" w:rsidRPr="001727A0">
        <w:rPr>
          <w:rFonts w:ascii="Times New Roman" w:hAnsi="Times New Roman" w:cs="Times New Roman"/>
          <w:sz w:val="24"/>
          <w:szCs w:val="24"/>
        </w:rPr>
        <w:t>Negotiation Period and any applicable Extension Period</w:t>
      </w:r>
      <w:r w:rsidR="00C54AE5" w:rsidRPr="001727A0" w:rsidDel="00C54AE5">
        <w:rPr>
          <w:rFonts w:ascii="Times New Roman" w:hAnsi="Times New Roman" w:cs="Times New Roman"/>
          <w:color w:val="000000" w:themeColor="text1"/>
          <w:sz w:val="24"/>
          <w:szCs w:val="24"/>
        </w:rPr>
        <w:t xml:space="preserve"> </w:t>
      </w:r>
      <w:r w:rsidRPr="001727A0">
        <w:rPr>
          <w:rFonts w:ascii="Times New Roman" w:hAnsi="Times New Roman" w:cs="Times New Roman"/>
          <w:color w:val="000000" w:themeColor="text1"/>
          <w:sz w:val="24"/>
          <w:szCs w:val="24"/>
        </w:rPr>
        <w:t xml:space="preserve">(as defined in the </w:t>
      </w:r>
      <w:r w:rsidR="00025175" w:rsidRPr="001727A0">
        <w:rPr>
          <w:rFonts w:ascii="Times New Roman" w:hAnsi="Times New Roman" w:cs="Times New Roman"/>
          <w:color w:val="000000" w:themeColor="text1"/>
          <w:sz w:val="24"/>
          <w:szCs w:val="24"/>
        </w:rPr>
        <w:t>Exclusivity Agreement</w:t>
      </w:r>
      <w:r w:rsidRPr="001727A0">
        <w:rPr>
          <w:rFonts w:ascii="Times New Roman" w:hAnsi="Times New Roman" w:cs="Times New Roman"/>
          <w:color w:val="000000" w:themeColor="text1"/>
          <w:sz w:val="24"/>
          <w:szCs w:val="24"/>
        </w:rPr>
        <w:t xml:space="preserve">), as such Exclusivity Deadline may be extended pursuant to the </w:t>
      </w:r>
      <w:r w:rsidR="00025175" w:rsidRPr="001727A0">
        <w:rPr>
          <w:rFonts w:ascii="Times New Roman" w:hAnsi="Times New Roman" w:cs="Times New Roman"/>
          <w:color w:val="000000" w:themeColor="text1"/>
          <w:sz w:val="24"/>
          <w:szCs w:val="24"/>
        </w:rPr>
        <w:t>Exclusivity Agreement</w:t>
      </w:r>
      <w:r w:rsidRPr="001727A0">
        <w:rPr>
          <w:rFonts w:ascii="Times New Roman" w:hAnsi="Times New Roman" w:cs="Times New Roman"/>
          <w:color w:val="000000" w:themeColor="text1"/>
          <w:sz w:val="24"/>
          <w:szCs w:val="24"/>
        </w:rPr>
        <w:t>.</w:t>
      </w:r>
    </w:p>
    <w:p w14:paraId="71571D76" w14:textId="77777777" w:rsidR="006F54A7" w:rsidRPr="001727A0" w:rsidRDefault="006F54A7" w:rsidP="0065395F">
      <w:pPr>
        <w:autoSpaceDE w:val="0"/>
        <w:autoSpaceDN w:val="0"/>
        <w:adjustRightInd w:val="0"/>
        <w:spacing w:after="0" w:line="240" w:lineRule="auto"/>
        <w:jc w:val="both"/>
        <w:rPr>
          <w:rFonts w:ascii="Times New Roman" w:hAnsi="Times New Roman"/>
          <w:color w:val="000000" w:themeColor="text1"/>
          <w:sz w:val="24"/>
          <w:szCs w:val="24"/>
        </w:rPr>
      </w:pPr>
    </w:p>
    <w:p w14:paraId="3612232A" w14:textId="77777777" w:rsidR="006F54A7" w:rsidRPr="001727A0" w:rsidRDefault="006F54A7" w:rsidP="006A4BD3">
      <w:pPr>
        <w:pStyle w:val="ListParagraph"/>
        <w:numPr>
          <w:ilvl w:val="0"/>
          <w:numId w:val="16"/>
        </w:numPr>
        <w:autoSpaceDE w:val="0"/>
        <w:autoSpaceDN w:val="0"/>
        <w:adjustRightInd w:val="0"/>
        <w:ind w:left="0" w:firstLine="720"/>
        <w:jc w:val="both"/>
        <w:rPr>
          <w:rFonts w:ascii="Times New Roman" w:hAnsi="Times New Roman" w:cs="Times New Roman"/>
          <w:color w:val="000000" w:themeColor="text1"/>
          <w:sz w:val="24"/>
          <w:szCs w:val="24"/>
        </w:rPr>
      </w:pPr>
      <w:r w:rsidRPr="001727A0">
        <w:rPr>
          <w:rFonts w:ascii="Times New Roman" w:hAnsi="Times New Roman" w:cs="Times New Roman"/>
          <w:b/>
          <w:bCs/>
          <w:color w:val="000000" w:themeColor="text1"/>
          <w:sz w:val="24"/>
          <w:szCs w:val="24"/>
        </w:rPr>
        <w:t>Governing Law</w:t>
      </w:r>
      <w:r w:rsidRPr="001727A0">
        <w:rPr>
          <w:rFonts w:ascii="Times New Roman" w:hAnsi="Times New Roman" w:cs="Times New Roman"/>
          <w:color w:val="000000" w:themeColor="text1"/>
          <w:sz w:val="24"/>
          <w:szCs w:val="24"/>
        </w:rPr>
        <w:t>. This Term Sheet is governed by, and construed in accordance with, the laws of the State of California.</w:t>
      </w:r>
    </w:p>
    <w:p w14:paraId="70DBE04A" w14:textId="77777777" w:rsidR="006F54A7" w:rsidRPr="001727A0" w:rsidRDefault="006F54A7" w:rsidP="0065395F">
      <w:pPr>
        <w:autoSpaceDE w:val="0"/>
        <w:autoSpaceDN w:val="0"/>
        <w:adjustRightInd w:val="0"/>
        <w:spacing w:after="0" w:line="240" w:lineRule="auto"/>
        <w:jc w:val="both"/>
        <w:rPr>
          <w:rFonts w:ascii="Times New Roman" w:hAnsi="Times New Roman"/>
          <w:color w:val="000000" w:themeColor="text1"/>
          <w:sz w:val="24"/>
          <w:szCs w:val="24"/>
        </w:rPr>
      </w:pPr>
    </w:p>
    <w:p w14:paraId="3E387583" w14:textId="77777777" w:rsidR="006F54A7" w:rsidRPr="001727A0" w:rsidRDefault="006F54A7" w:rsidP="006A4BD3">
      <w:pPr>
        <w:pStyle w:val="ListParagraph"/>
        <w:numPr>
          <w:ilvl w:val="0"/>
          <w:numId w:val="16"/>
        </w:numPr>
        <w:autoSpaceDE w:val="0"/>
        <w:autoSpaceDN w:val="0"/>
        <w:adjustRightInd w:val="0"/>
        <w:ind w:left="0" w:firstLine="720"/>
        <w:jc w:val="both"/>
        <w:rPr>
          <w:rFonts w:ascii="Times New Roman" w:hAnsi="Times New Roman" w:cs="Times New Roman"/>
          <w:color w:val="000000" w:themeColor="text1"/>
          <w:sz w:val="24"/>
          <w:szCs w:val="24"/>
        </w:rPr>
      </w:pPr>
      <w:r w:rsidRPr="001727A0">
        <w:rPr>
          <w:rFonts w:ascii="Times New Roman" w:hAnsi="Times New Roman" w:cs="Times New Roman"/>
          <w:b/>
          <w:bCs/>
          <w:color w:val="000000" w:themeColor="text1"/>
          <w:sz w:val="24"/>
          <w:szCs w:val="24"/>
        </w:rPr>
        <w:t>Counterparts and Electronic Signatures</w:t>
      </w:r>
      <w:r w:rsidRPr="001727A0">
        <w:rPr>
          <w:rFonts w:ascii="Times New Roman" w:hAnsi="Times New Roman" w:cs="Times New Roman"/>
          <w:color w:val="000000" w:themeColor="text1"/>
          <w:sz w:val="24"/>
          <w:szCs w:val="24"/>
        </w:rPr>
        <w:t xml:space="preserve">. This Term Sheet may be executed electronically and in counterparts, each of which will be enforceable against the Parties </w:t>
      </w:r>
      <w:proofErr w:type="gramStart"/>
      <w:r w:rsidRPr="001727A0">
        <w:rPr>
          <w:rFonts w:ascii="Times New Roman" w:hAnsi="Times New Roman" w:cs="Times New Roman"/>
          <w:color w:val="000000" w:themeColor="text1"/>
          <w:sz w:val="24"/>
          <w:szCs w:val="24"/>
        </w:rPr>
        <w:t>actually executing</w:t>
      </w:r>
      <w:proofErr w:type="gramEnd"/>
      <w:r w:rsidRPr="001727A0">
        <w:rPr>
          <w:rFonts w:ascii="Times New Roman" w:hAnsi="Times New Roman" w:cs="Times New Roman"/>
          <w:color w:val="000000" w:themeColor="text1"/>
          <w:sz w:val="24"/>
          <w:szCs w:val="24"/>
        </w:rPr>
        <w:t xml:space="preserve"> such counterparts, and all of which together will constitute one instrument. The Parties may rely on electronic or scanned signatures as originals. Delivery of an executed signature page of this Term Sheet by electronic transmission (including email transmission of a PDF image) shall be the same as delivery of an original executed signature page.</w:t>
      </w:r>
    </w:p>
    <w:p w14:paraId="1700FB88" w14:textId="77777777" w:rsidR="006F54A7" w:rsidRPr="001727A0" w:rsidRDefault="006F54A7" w:rsidP="0065395F">
      <w:pPr>
        <w:autoSpaceDE w:val="0"/>
        <w:autoSpaceDN w:val="0"/>
        <w:adjustRightInd w:val="0"/>
        <w:spacing w:after="0" w:line="240" w:lineRule="auto"/>
        <w:jc w:val="both"/>
        <w:rPr>
          <w:rFonts w:ascii="Times New Roman" w:hAnsi="Times New Roman"/>
          <w:color w:val="000000" w:themeColor="text1"/>
          <w:sz w:val="24"/>
          <w:szCs w:val="24"/>
        </w:rPr>
      </w:pPr>
    </w:p>
    <w:p w14:paraId="1BBE5B30" w14:textId="77777777" w:rsidR="006F54A7" w:rsidRPr="001727A0" w:rsidRDefault="006F54A7" w:rsidP="006A4BD3">
      <w:pPr>
        <w:pStyle w:val="ListParagraph"/>
        <w:numPr>
          <w:ilvl w:val="0"/>
          <w:numId w:val="16"/>
        </w:numPr>
        <w:autoSpaceDE w:val="0"/>
        <w:autoSpaceDN w:val="0"/>
        <w:adjustRightInd w:val="0"/>
        <w:ind w:left="0" w:firstLine="720"/>
        <w:jc w:val="both"/>
        <w:rPr>
          <w:rFonts w:ascii="Times New Roman" w:hAnsi="Times New Roman" w:cs="Times New Roman"/>
          <w:color w:val="000000" w:themeColor="text1"/>
          <w:sz w:val="24"/>
          <w:szCs w:val="24"/>
        </w:rPr>
      </w:pPr>
      <w:r w:rsidRPr="001727A0">
        <w:rPr>
          <w:rFonts w:ascii="Times New Roman" w:hAnsi="Times New Roman" w:cs="Times New Roman"/>
          <w:b/>
          <w:bCs/>
          <w:color w:val="000000" w:themeColor="text1"/>
          <w:sz w:val="24"/>
          <w:szCs w:val="24"/>
        </w:rPr>
        <w:t>Prior Agreements</w:t>
      </w:r>
      <w:r w:rsidRPr="001727A0">
        <w:rPr>
          <w:rFonts w:ascii="Times New Roman" w:hAnsi="Times New Roman" w:cs="Times New Roman"/>
          <w:color w:val="000000" w:themeColor="text1"/>
          <w:sz w:val="24"/>
          <w:szCs w:val="24"/>
        </w:rPr>
        <w:t>. This Term Sheet supersedes all prior communications and agreements, oral or written, between the Parties regarding the subject matter herein contemplated.</w:t>
      </w:r>
    </w:p>
    <w:p w14:paraId="70BCFE8D" w14:textId="77777777" w:rsidR="006F54A7" w:rsidRPr="001727A0" w:rsidRDefault="006F54A7" w:rsidP="0065395F">
      <w:pPr>
        <w:autoSpaceDE w:val="0"/>
        <w:autoSpaceDN w:val="0"/>
        <w:adjustRightInd w:val="0"/>
        <w:spacing w:after="0" w:line="240" w:lineRule="auto"/>
        <w:jc w:val="both"/>
        <w:rPr>
          <w:rFonts w:ascii="Times New Roman" w:hAnsi="Times New Roman"/>
          <w:color w:val="000000" w:themeColor="text1"/>
          <w:sz w:val="24"/>
          <w:szCs w:val="24"/>
        </w:rPr>
      </w:pPr>
    </w:p>
    <w:p w14:paraId="1D7E5751" w14:textId="2807509D" w:rsidR="006F54A7" w:rsidRPr="001727A0" w:rsidRDefault="006F54A7" w:rsidP="006A4BD3">
      <w:pPr>
        <w:pStyle w:val="ListParagraph"/>
        <w:numPr>
          <w:ilvl w:val="0"/>
          <w:numId w:val="16"/>
        </w:numPr>
        <w:autoSpaceDE w:val="0"/>
        <w:autoSpaceDN w:val="0"/>
        <w:adjustRightInd w:val="0"/>
        <w:ind w:left="0" w:firstLine="720"/>
        <w:jc w:val="both"/>
        <w:rPr>
          <w:rFonts w:ascii="Times New Roman" w:hAnsi="Times New Roman" w:cs="Times New Roman"/>
          <w:color w:val="000000" w:themeColor="text1"/>
          <w:sz w:val="24"/>
          <w:szCs w:val="24"/>
        </w:rPr>
      </w:pPr>
      <w:r w:rsidRPr="001727A0">
        <w:rPr>
          <w:rFonts w:ascii="Times New Roman" w:hAnsi="Times New Roman" w:cs="Times New Roman"/>
          <w:b/>
          <w:bCs/>
          <w:color w:val="000000" w:themeColor="text1"/>
          <w:sz w:val="24"/>
          <w:szCs w:val="24"/>
        </w:rPr>
        <w:t>Assignment</w:t>
      </w:r>
      <w:r w:rsidRPr="001727A0">
        <w:rPr>
          <w:rFonts w:ascii="Times New Roman" w:hAnsi="Times New Roman" w:cs="Times New Roman"/>
          <w:color w:val="000000" w:themeColor="text1"/>
          <w:sz w:val="24"/>
          <w:szCs w:val="24"/>
        </w:rPr>
        <w:t>. This Term Sheet will be binding upon and inure to the benefit of the Parties and their respective successors and permitted assigns. N</w:t>
      </w:r>
      <w:r w:rsidR="00367720" w:rsidRPr="001727A0">
        <w:rPr>
          <w:rFonts w:ascii="Times New Roman" w:hAnsi="Times New Roman" w:cs="Times New Roman"/>
          <w:color w:val="000000" w:themeColor="text1"/>
          <w:sz w:val="24"/>
          <w:szCs w:val="24"/>
        </w:rPr>
        <w:t>either</w:t>
      </w:r>
      <w:r w:rsidR="004707AC" w:rsidRPr="001727A0">
        <w:rPr>
          <w:rFonts w:ascii="Times New Roman" w:hAnsi="Times New Roman" w:cs="Times New Roman"/>
          <w:color w:val="000000" w:themeColor="text1"/>
          <w:sz w:val="24"/>
          <w:szCs w:val="24"/>
        </w:rPr>
        <w:t xml:space="preserve"> </w:t>
      </w:r>
      <w:r w:rsidRPr="001727A0">
        <w:rPr>
          <w:rFonts w:ascii="Times New Roman" w:hAnsi="Times New Roman" w:cs="Times New Roman"/>
          <w:color w:val="000000" w:themeColor="text1"/>
          <w:sz w:val="24"/>
          <w:szCs w:val="24"/>
        </w:rPr>
        <w:t>Party will assign, pledge or otherwise transfer this Term Sheet or any right or obligation under this Term Sheet without prior written consent</w:t>
      </w:r>
      <w:r w:rsidR="00367720" w:rsidRPr="001727A0">
        <w:rPr>
          <w:rFonts w:ascii="Times New Roman" w:hAnsi="Times New Roman" w:cs="Times New Roman"/>
          <w:color w:val="000000" w:themeColor="text1"/>
          <w:sz w:val="24"/>
          <w:szCs w:val="24"/>
        </w:rPr>
        <w:t xml:space="preserve"> of the other Party</w:t>
      </w:r>
      <w:r w:rsidRPr="001727A0">
        <w:rPr>
          <w:rFonts w:ascii="Times New Roman" w:hAnsi="Times New Roman" w:cs="Times New Roman"/>
          <w:color w:val="000000" w:themeColor="text1"/>
          <w:sz w:val="24"/>
          <w:szCs w:val="24"/>
        </w:rPr>
        <w:t>.</w:t>
      </w:r>
    </w:p>
    <w:p w14:paraId="05FD16C4" w14:textId="77777777" w:rsidR="006F54A7" w:rsidRPr="001727A0" w:rsidRDefault="006F54A7" w:rsidP="0065395F">
      <w:pPr>
        <w:autoSpaceDE w:val="0"/>
        <w:autoSpaceDN w:val="0"/>
        <w:adjustRightInd w:val="0"/>
        <w:spacing w:after="0" w:line="240" w:lineRule="auto"/>
        <w:jc w:val="both"/>
        <w:rPr>
          <w:rFonts w:ascii="Times New Roman" w:hAnsi="Times New Roman"/>
          <w:color w:val="000000" w:themeColor="text1"/>
          <w:sz w:val="24"/>
          <w:szCs w:val="24"/>
        </w:rPr>
      </w:pPr>
    </w:p>
    <w:p w14:paraId="12E88E14" w14:textId="42C61874" w:rsidR="006F54A7" w:rsidRPr="001727A0" w:rsidRDefault="006F54A7" w:rsidP="006A4BD3">
      <w:pPr>
        <w:pStyle w:val="ListParagraph"/>
        <w:numPr>
          <w:ilvl w:val="0"/>
          <w:numId w:val="16"/>
        </w:numPr>
        <w:autoSpaceDE w:val="0"/>
        <w:autoSpaceDN w:val="0"/>
        <w:adjustRightInd w:val="0"/>
        <w:ind w:left="0" w:firstLine="720"/>
        <w:jc w:val="both"/>
        <w:rPr>
          <w:rFonts w:ascii="Times New Roman" w:hAnsi="Times New Roman" w:cs="Times New Roman"/>
          <w:color w:val="000000" w:themeColor="text1"/>
          <w:sz w:val="24"/>
          <w:szCs w:val="24"/>
        </w:rPr>
      </w:pPr>
      <w:r w:rsidRPr="001727A0">
        <w:rPr>
          <w:rFonts w:ascii="Times New Roman" w:hAnsi="Times New Roman" w:cs="Times New Roman"/>
          <w:b/>
          <w:bCs/>
          <w:color w:val="000000" w:themeColor="text1"/>
          <w:sz w:val="24"/>
          <w:szCs w:val="24"/>
        </w:rPr>
        <w:t>No Consequential Damages</w:t>
      </w:r>
      <w:r w:rsidRPr="001727A0">
        <w:rPr>
          <w:rFonts w:ascii="Times New Roman" w:hAnsi="Times New Roman" w:cs="Times New Roman"/>
          <w:color w:val="000000" w:themeColor="text1"/>
          <w:sz w:val="24"/>
          <w:szCs w:val="24"/>
        </w:rPr>
        <w:t xml:space="preserve">. </w:t>
      </w:r>
      <w:r w:rsidR="00367720" w:rsidRPr="001727A0">
        <w:rPr>
          <w:rFonts w:ascii="Times New Roman" w:hAnsi="Times New Roman" w:cs="Times New Roman"/>
          <w:color w:val="000000" w:themeColor="text1"/>
          <w:sz w:val="24"/>
          <w:szCs w:val="24"/>
        </w:rPr>
        <w:t>NEITHER PARTY SHALL</w:t>
      </w:r>
      <w:r w:rsidRPr="001727A0">
        <w:rPr>
          <w:rFonts w:ascii="Times New Roman" w:hAnsi="Times New Roman" w:cs="Times New Roman"/>
          <w:color w:val="000000" w:themeColor="text1"/>
          <w:sz w:val="24"/>
          <w:szCs w:val="24"/>
        </w:rPr>
        <w:t xml:space="preserve"> BE LIABLE </w:t>
      </w:r>
      <w:r w:rsidR="00367720" w:rsidRPr="001727A0">
        <w:rPr>
          <w:rFonts w:ascii="Times New Roman" w:hAnsi="Times New Roman" w:cs="Times New Roman"/>
          <w:color w:val="000000" w:themeColor="text1"/>
          <w:sz w:val="24"/>
          <w:szCs w:val="24"/>
        </w:rPr>
        <w:t xml:space="preserve">TO THE OTHER </w:t>
      </w:r>
      <w:r w:rsidRPr="001727A0">
        <w:rPr>
          <w:rFonts w:ascii="Times New Roman" w:hAnsi="Times New Roman" w:cs="Times New Roman"/>
          <w:color w:val="000000" w:themeColor="text1"/>
          <w:sz w:val="24"/>
          <w:szCs w:val="24"/>
        </w:rPr>
        <w:t>FOR ANY LOST OR PROSPECTIVE PROFITS OR ANY OTHER CONSEQUENTIAL, INCIDENTAL, SPECIAL, PUNITIVE, INDIRECT OR EXEMPLARY DAMAGES UNDER OR IN RESPECT TO THIS TERM SHEET.</w:t>
      </w:r>
    </w:p>
    <w:p w14:paraId="7E9F4BF6" w14:textId="0488CB27" w:rsidR="00360E06" w:rsidRPr="001727A0" w:rsidRDefault="00360E06" w:rsidP="0065395F">
      <w:pPr>
        <w:spacing w:after="0" w:line="240" w:lineRule="auto"/>
        <w:rPr>
          <w:rFonts w:ascii="Times New Roman" w:hAnsi="Times New Roman"/>
          <w:color w:val="000000" w:themeColor="text1"/>
          <w:sz w:val="24"/>
          <w:szCs w:val="24"/>
        </w:rPr>
      </w:pPr>
      <w:r w:rsidRPr="001727A0">
        <w:rPr>
          <w:rFonts w:ascii="Times New Roman" w:hAnsi="Times New Roman"/>
          <w:color w:val="000000" w:themeColor="text1"/>
          <w:sz w:val="24"/>
          <w:szCs w:val="24"/>
        </w:rPr>
        <w:br w:type="page"/>
      </w:r>
    </w:p>
    <w:p w14:paraId="0EE644A7" w14:textId="77777777" w:rsidR="006F54A7" w:rsidRPr="001727A0" w:rsidRDefault="006F54A7" w:rsidP="0065395F">
      <w:pPr>
        <w:spacing w:after="0" w:line="240" w:lineRule="auto"/>
        <w:rPr>
          <w:rFonts w:ascii="Times New Roman" w:hAnsi="Times New Roman"/>
          <w:color w:val="000000" w:themeColor="text1"/>
          <w:sz w:val="24"/>
          <w:szCs w:val="24"/>
        </w:rPr>
      </w:pPr>
    </w:p>
    <w:p w14:paraId="40320D22" w14:textId="77777777" w:rsidR="006F54A7" w:rsidRPr="001727A0" w:rsidRDefault="006F54A7" w:rsidP="0065395F">
      <w:pPr>
        <w:spacing w:after="0" w:line="240" w:lineRule="auto"/>
        <w:rPr>
          <w:rFonts w:ascii="Times New Roman" w:hAnsi="Times New Roman"/>
          <w:color w:val="000000" w:themeColor="text1"/>
          <w:sz w:val="24"/>
          <w:szCs w:val="24"/>
        </w:rPr>
      </w:pPr>
      <w:r w:rsidRPr="001727A0">
        <w:rPr>
          <w:rFonts w:ascii="Times New Roman" w:hAnsi="Times New Roman"/>
          <w:color w:val="000000" w:themeColor="text1"/>
          <w:sz w:val="24"/>
          <w:szCs w:val="24"/>
        </w:rPr>
        <w:t>IN WITNESS WHEREOF, the Parties have signed this Term Sheet effective as of the Effective Date.</w:t>
      </w:r>
    </w:p>
    <w:p w14:paraId="5B2EB96D" w14:textId="77777777" w:rsidR="006F54A7" w:rsidRPr="001727A0" w:rsidRDefault="006F54A7" w:rsidP="0065395F">
      <w:pPr>
        <w:spacing w:line="240" w:lineRule="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F54A7" w:rsidRPr="001727A0" w14:paraId="54580D3F" w14:textId="77777777" w:rsidTr="00140C91">
        <w:trPr>
          <w:trHeight w:val="2438"/>
        </w:trPr>
        <w:tc>
          <w:tcPr>
            <w:tcW w:w="4675" w:type="dxa"/>
          </w:tcPr>
          <w:p w14:paraId="73A105A2" w14:textId="44A4FEC5" w:rsidR="006F54A7" w:rsidRPr="001727A0" w:rsidRDefault="00360E06" w:rsidP="001957FF">
            <w:pPr>
              <w:tabs>
                <w:tab w:val="left" w:pos="-720"/>
              </w:tabs>
              <w:suppressAutoHyphens/>
              <w:spacing w:line="240" w:lineRule="auto"/>
              <w:ind w:left="-19" w:right="78"/>
              <w:rPr>
                <w:rFonts w:ascii="Times New Roman" w:hAnsi="Times New Roman"/>
                <w:b/>
                <w:sz w:val="24"/>
                <w:szCs w:val="24"/>
              </w:rPr>
            </w:pPr>
            <w:r w:rsidRPr="001727A0">
              <w:rPr>
                <w:rFonts w:ascii="Times New Roman" w:hAnsi="Times New Roman"/>
                <w:b/>
                <w:sz w:val="24"/>
                <w:szCs w:val="24"/>
              </w:rPr>
              <w:t>SAN DIEGO COMMUNITY POWER</w:t>
            </w:r>
            <w:r w:rsidR="000441E7" w:rsidRPr="001727A0">
              <w:rPr>
                <w:rFonts w:ascii="Times New Roman" w:hAnsi="Times New Roman"/>
                <w:b/>
                <w:sz w:val="24"/>
                <w:szCs w:val="24"/>
              </w:rPr>
              <w:t>,</w:t>
            </w:r>
            <w:r w:rsidR="005B26E0" w:rsidRPr="001727A0">
              <w:rPr>
                <w:rFonts w:ascii="Times New Roman" w:hAnsi="Times New Roman"/>
                <w:b/>
                <w:sz w:val="24"/>
                <w:szCs w:val="24"/>
              </w:rPr>
              <w:t xml:space="preserve"> a California joint powers authority</w:t>
            </w:r>
          </w:p>
          <w:p w14:paraId="4AA8C486" w14:textId="77777777" w:rsidR="005B26E0" w:rsidRPr="001727A0" w:rsidRDefault="005B26E0" w:rsidP="005B26E0">
            <w:pPr>
              <w:pStyle w:val="ConfirmSignatureBold"/>
              <w:tabs>
                <w:tab w:val="left" w:pos="720"/>
                <w:tab w:val="left" w:pos="4050"/>
              </w:tabs>
              <w:jc w:val="both"/>
              <w:rPr>
                <w:rFonts w:ascii="Times New Roman" w:hAnsi="Times New Roman" w:cs="Times New Roman"/>
                <w:b w:val="0"/>
                <w:color w:val="000000" w:themeColor="text1"/>
                <w:sz w:val="24"/>
                <w:szCs w:val="24"/>
              </w:rPr>
            </w:pPr>
          </w:p>
          <w:p w14:paraId="313D5D14" w14:textId="7AB69CC2" w:rsidR="005B26E0" w:rsidRPr="001727A0" w:rsidRDefault="005B26E0" w:rsidP="005B26E0">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r w:rsidRPr="001727A0">
              <w:rPr>
                <w:rFonts w:ascii="Times New Roman" w:hAnsi="Times New Roman" w:cs="Times New Roman"/>
                <w:b w:val="0"/>
                <w:color w:val="000000" w:themeColor="text1"/>
                <w:sz w:val="24"/>
                <w:szCs w:val="24"/>
              </w:rPr>
              <w:t>By:</w:t>
            </w:r>
            <w:r w:rsidRPr="001727A0">
              <w:rPr>
                <w:rFonts w:ascii="Times New Roman" w:hAnsi="Times New Roman" w:cs="Times New Roman"/>
                <w:b w:val="0"/>
                <w:color w:val="000000" w:themeColor="text1"/>
                <w:sz w:val="24"/>
                <w:szCs w:val="24"/>
                <w:u w:val="single"/>
              </w:rPr>
              <w:tab/>
              <w:t xml:space="preserve">   </w:t>
            </w:r>
            <w:r w:rsidRPr="001727A0">
              <w:rPr>
                <w:rFonts w:ascii="Times New Roman" w:hAnsi="Times New Roman" w:cs="Times New Roman"/>
                <w:b w:val="0"/>
                <w:color w:val="000000" w:themeColor="text1"/>
                <w:sz w:val="24"/>
                <w:szCs w:val="24"/>
                <w:u w:val="single"/>
              </w:rPr>
              <w:tab/>
            </w:r>
          </w:p>
          <w:p w14:paraId="1A2886E9" w14:textId="77777777" w:rsidR="005B26E0" w:rsidRPr="001727A0" w:rsidRDefault="005B26E0" w:rsidP="005B26E0">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r w:rsidRPr="001727A0">
              <w:rPr>
                <w:rFonts w:ascii="Times New Roman" w:hAnsi="Times New Roman" w:cs="Times New Roman"/>
                <w:b w:val="0"/>
                <w:color w:val="000000" w:themeColor="text1"/>
                <w:sz w:val="24"/>
                <w:szCs w:val="24"/>
              </w:rPr>
              <w:t>Printed Name:</w:t>
            </w:r>
            <w:r w:rsidRPr="001727A0">
              <w:rPr>
                <w:rFonts w:ascii="Times New Roman" w:hAnsi="Times New Roman" w:cs="Times New Roman"/>
                <w:b w:val="0"/>
                <w:color w:val="000000" w:themeColor="text1"/>
                <w:sz w:val="24"/>
                <w:szCs w:val="24"/>
                <w:u w:val="single"/>
              </w:rPr>
              <w:tab/>
            </w:r>
          </w:p>
          <w:p w14:paraId="6BDB6215" w14:textId="580E2ECB" w:rsidR="006F54A7" w:rsidRPr="001727A0" w:rsidRDefault="005B26E0" w:rsidP="005B26E0">
            <w:pPr>
              <w:pStyle w:val="ConfirmSignatureBold"/>
              <w:tabs>
                <w:tab w:val="left" w:pos="4031"/>
              </w:tabs>
              <w:jc w:val="both"/>
              <w:rPr>
                <w:rFonts w:ascii="Times New Roman" w:hAnsi="Times New Roman" w:cs="Times New Roman"/>
                <w:b w:val="0"/>
                <w:color w:val="000000" w:themeColor="text1"/>
                <w:sz w:val="24"/>
                <w:szCs w:val="24"/>
                <w:u w:val="single"/>
              </w:rPr>
            </w:pPr>
            <w:r w:rsidRPr="001727A0">
              <w:rPr>
                <w:rFonts w:ascii="Times New Roman" w:hAnsi="Times New Roman" w:cs="Times New Roman"/>
                <w:b w:val="0"/>
                <w:color w:val="000000" w:themeColor="text1"/>
                <w:sz w:val="24"/>
                <w:szCs w:val="24"/>
              </w:rPr>
              <w:t>Title:</w:t>
            </w:r>
            <w:r w:rsidRPr="001727A0">
              <w:rPr>
                <w:rFonts w:ascii="Times New Roman" w:hAnsi="Times New Roman" w:cs="Times New Roman"/>
                <w:b w:val="0"/>
                <w:color w:val="000000" w:themeColor="text1"/>
                <w:sz w:val="24"/>
                <w:szCs w:val="24"/>
                <w:u w:val="single"/>
              </w:rPr>
              <w:tab/>
            </w:r>
          </w:p>
        </w:tc>
        <w:tc>
          <w:tcPr>
            <w:tcW w:w="4675" w:type="dxa"/>
          </w:tcPr>
          <w:p w14:paraId="5A4EA0CF" w14:textId="643680F4" w:rsidR="006F54A7" w:rsidRPr="001727A0" w:rsidRDefault="006F54A7" w:rsidP="0065395F">
            <w:pPr>
              <w:tabs>
                <w:tab w:val="left" w:pos="-720"/>
              </w:tabs>
              <w:suppressAutoHyphens/>
              <w:spacing w:line="240" w:lineRule="auto"/>
              <w:ind w:right="-360"/>
              <w:jc w:val="both"/>
              <w:rPr>
                <w:rFonts w:ascii="Times New Roman" w:hAnsi="Times New Roman"/>
                <w:b/>
                <w:sz w:val="24"/>
                <w:szCs w:val="24"/>
              </w:rPr>
            </w:pPr>
            <w:r w:rsidRPr="001727A0">
              <w:rPr>
                <w:rFonts w:ascii="Times New Roman" w:hAnsi="Times New Roman"/>
                <w:b/>
                <w:sz w:val="24"/>
                <w:szCs w:val="24"/>
              </w:rPr>
              <w:t>[</w:t>
            </w:r>
            <w:r w:rsidR="00933B91" w:rsidRPr="001727A0">
              <w:rPr>
                <w:rFonts w:ascii="Times New Roman" w:hAnsi="Times New Roman"/>
                <w:b/>
                <w:i/>
                <w:iCs/>
                <w:sz w:val="24"/>
                <w:szCs w:val="24"/>
                <w:highlight w:val="lightGray"/>
              </w:rPr>
              <w:t>RESPONDENT</w:t>
            </w:r>
            <w:r w:rsidRPr="001727A0">
              <w:rPr>
                <w:rFonts w:ascii="Times New Roman" w:hAnsi="Times New Roman"/>
                <w:sz w:val="24"/>
                <w:szCs w:val="24"/>
              </w:rPr>
              <w:t>]</w:t>
            </w:r>
            <w:r w:rsidRPr="001727A0">
              <w:rPr>
                <w:rFonts w:ascii="Times New Roman" w:hAnsi="Times New Roman"/>
                <w:b/>
                <w:sz w:val="24"/>
                <w:szCs w:val="24"/>
              </w:rPr>
              <w:t xml:space="preserve"> </w:t>
            </w:r>
          </w:p>
          <w:p w14:paraId="23A10237" w14:textId="77777777" w:rsidR="006F54A7" w:rsidRPr="001727A0" w:rsidRDefault="006F54A7" w:rsidP="0065395F">
            <w:pPr>
              <w:spacing w:line="240" w:lineRule="auto"/>
              <w:rPr>
                <w:rFonts w:ascii="Times New Roman" w:hAnsi="Times New Roman"/>
                <w:sz w:val="24"/>
                <w:szCs w:val="24"/>
              </w:rPr>
            </w:pPr>
          </w:p>
          <w:p w14:paraId="72DEB8F1" w14:textId="77777777" w:rsidR="00140C91" w:rsidRPr="001727A0" w:rsidRDefault="00140C91" w:rsidP="00140C91">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r w:rsidRPr="001727A0">
              <w:rPr>
                <w:rFonts w:ascii="Times New Roman" w:hAnsi="Times New Roman" w:cs="Times New Roman"/>
                <w:b w:val="0"/>
                <w:color w:val="000000" w:themeColor="text1"/>
                <w:sz w:val="24"/>
                <w:szCs w:val="24"/>
              </w:rPr>
              <w:t>By:</w:t>
            </w:r>
            <w:r w:rsidRPr="001727A0">
              <w:rPr>
                <w:rFonts w:ascii="Times New Roman" w:hAnsi="Times New Roman" w:cs="Times New Roman"/>
                <w:b w:val="0"/>
                <w:color w:val="000000" w:themeColor="text1"/>
                <w:sz w:val="24"/>
                <w:szCs w:val="24"/>
                <w:u w:val="single"/>
              </w:rPr>
              <w:tab/>
              <w:t xml:space="preserve">   </w:t>
            </w:r>
            <w:r w:rsidRPr="001727A0">
              <w:rPr>
                <w:rFonts w:ascii="Times New Roman" w:hAnsi="Times New Roman" w:cs="Times New Roman"/>
                <w:b w:val="0"/>
                <w:color w:val="000000" w:themeColor="text1"/>
                <w:sz w:val="24"/>
                <w:szCs w:val="24"/>
                <w:u w:val="single"/>
              </w:rPr>
              <w:tab/>
            </w:r>
          </w:p>
          <w:p w14:paraId="6569E1E5" w14:textId="77777777" w:rsidR="00140C91" w:rsidRPr="001727A0" w:rsidRDefault="00140C91" w:rsidP="00140C91">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r w:rsidRPr="001727A0">
              <w:rPr>
                <w:rFonts w:ascii="Times New Roman" w:hAnsi="Times New Roman" w:cs="Times New Roman"/>
                <w:b w:val="0"/>
                <w:color w:val="000000" w:themeColor="text1"/>
                <w:sz w:val="24"/>
                <w:szCs w:val="24"/>
              </w:rPr>
              <w:t>Printed Name:</w:t>
            </w:r>
            <w:r w:rsidRPr="001727A0">
              <w:rPr>
                <w:rFonts w:ascii="Times New Roman" w:hAnsi="Times New Roman" w:cs="Times New Roman"/>
                <w:b w:val="0"/>
                <w:color w:val="000000" w:themeColor="text1"/>
                <w:sz w:val="24"/>
                <w:szCs w:val="24"/>
                <w:u w:val="single"/>
              </w:rPr>
              <w:tab/>
            </w:r>
          </w:p>
          <w:p w14:paraId="157C15AB" w14:textId="2A0C0135" w:rsidR="00140C91" w:rsidRPr="001727A0" w:rsidRDefault="00140C91" w:rsidP="00140C91">
            <w:pPr>
              <w:tabs>
                <w:tab w:val="left" w:pos="4030"/>
              </w:tabs>
              <w:spacing w:line="240" w:lineRule="auto"/>
              <w:rPr>
                <w:rFonts w:ascii="Times New Roman" w:hAnsi="Times New Roman"/>
                <w:sz w:val="24"/>
                <w:szCs w:val="24"/>
              </w:rPr>
            </w:pPr>
            <w:r w:rsidRPr="001727A0">
              <w:rPr>
                <w:rFonts w:ascii="Times New Roman" w:hAnsi="Times New Roman"/>
                <w:color w:val="000000" w:themeColor="text1"/>
                <w:sz w:val="24"/>
                <w:szCs w:val="24"/>
              </w:rPr>
              <w:t>Title:</w:t>
            </w:r>
            <w:r w:rsidRPr="001727A0">
              <w:rPr>
                <w:rFonts w:ascii="Times New Roman" w:hAnsi="Times New Roman"/>
                <w:color w:val="000000" w:themeColor="text1"/>
                <w:sz w:val="24"/>
                <w:szCs w:val="24"/>
                <w:u w:val="single"/>
              </w:rPr>
              <w:tab/>
            </w:r>
          </w:p>
        </w:tc>
      </w:tr>
      <w:tr w:rsidR="006F54A7" w:rsidRPr="001727A0" w14:paraId="13A7C834" w14:textId="77777777" w:rsidTr="00140C91">
        <w:tc>
          <w:tcPr>
            <w:tcW w:w="4675" w:type="dxa"/>
          </w:tcPr>
          <w:p w14:paraId="1930B9D9" w14:textId="77777777" w:rsidR="006F54A7" w:rsidRPr="001727A0" w:rsidRDefault="006F54A7" w:rsidP="005B26E0">
            <w:pPr>
              <w:pStyle w:val="ConfirmSignatureBold"/>
              <w:tabs>
                <w:tab w:val="left" w:pos="720"/>
                <w:tab w:val="left" w:pos="4050"/>
              </w:tabs>
              <w:jc w:val="both"/>
              <w:rPr>
                <w:rFonts w:ascii="Times New Roman" w:hAnsi="Times New Roman" w:cs="Times New Roman"/>
                <w:sz w:val="24"/>
                <w:szCs w:val="24"/>
              </w:rPr>
            </w:pPr>
          </w:p>
        </w:tc>
        <w:tc>
          <w:tcPr>
            <w:tcW w:w="4675" w:type="dxa"/>
          </w:tcPr>
          <w:p w14:paraId="27661E5E" w14:textId="77777777" w:rsidR="006F54A7" w:rsidRPr="001727A0" w:rsidRDefault="006F54A7" w:rsidP="00140C91">
            <w:pPr>
              <w:pStyle w:val="ConfirmSignatureBold"/>
              <w:tabs>
                <w:tab w:val="left" w:pos="720"/>
                <w:tab w:val="left" w:pos="4050"/>
              </w:tabs>
              <w:jc w:val="both"/>
              <w:rPr>
                <w:rFonts w:ascii="Times New Roman" w:hAnsi="Times New Roman" w:cs="Times New Roman"/>
                <w:sz w:val="24"/>
                <w:szCs w:val="24"/>
              </w:rPr>
            </w:pPr>
          </w:p>
        </w:tc>
      </w:tr>
      <w:tr w:rsidR="005B26E0" w:rsidRPr="001727A0" w14:paraId="017E9B8B" w14:textId="77777777" w:rsidTr="00140C91">
        <w:tc>
          <w:tcPr>
            <w:tcW w:w="4675" w:type="dxa"/>
          </w:tcPr>
          <w:p w14:paraId="20D36CE9" w14:textId="2832EF0E" w:rsidR="005B26E0" w:rsidRPr="001727A0" w:rsidRDefault="005B26E0" w:rsidP="001957FF">
            <w:pPr>
              <w:pStyle w:val="ConfirmSignatureBold"/>
              <w:tabs>
                <w:tab w:val="left" w:pos="4121"/>
              </w:tabs>
              <w:jc w:val="both"/>
              <w:rPr>
                <w:rFonts w:ascii="Times New Roman" w:hAnsi="Times New Roman" w:cs="Times New Roman"/>
                <w:b w:val="0"/>
                <w:color w:val="000000" w:themeColor="text1"/>
                <w:sz w:val="24"/>
                <w:szCs w:val="24"/>
                <w:u w:val="single"/>
              </w:rPr>
            </w:pPr>
          </w:p>
        </w:tc>
        <w:tc>
          <w:tcPr>
            <w:tcW w:w="4675" w:type="dxa"/>
          </w:tcPr>
          <w:p w14:paraId="6A05F46B" w14:textId="77777777" w:rsidR="005B26E0" w:rsidRPr="001727A0" w:rsidRDefault="005B26E0" w:rsidP="0065395F">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p>
        </w:tc>
      </w:tr>
    </w:tbl>
    <w:p w14:paraId="38A60C06" w14:textId="0D920625" w:rsidR="006F54A7" w:rsidRPr="001727A0" w:rsidRDefault="006F54A7" w:rsidP="005B26E0">
      <w:pPr>
        <w:spacing w:after="120" w:line="240" w:lineRule="auto"/>
        <w:rPr>
          <w:rFonts w:ascii="Times New Roman" w:hAnsi="Times New Roman"/>
          <w:sz w:val="24"/>
          <w:szCs w:val="24"/>
        </w:rPr>
      </w:pPr>
    </w:p>
    <w:sectPr w:rsidR="006F54A7" w:rsidRPr="001727A0" w:rsidSect="00CB47AB">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51DB3" w14:textId="77777777" w:rsidR="005F5312" w:rsidRDefault="005F5312" w:rsidP="00A737BA">
      <w:pPr>
        <w:spacing w:after="0" w:line="240" w:lineRule="auto"/>
      </w:pPr>
      <w:r>
        <w:separator/>
      </w:r>
    </w:p>
  </w:endnote>
  <w:endnote w:type="continuationSeparator" w:id="0">
    <w:p w14:paraId="67931C1F" w14:textId="77777777" w:rsidR="005F5312" w:rsidRDefault="005F5312" w:rsidP="00A737BA">
      <w:pPr>
        <w:spacing w:after="0" w:line="240" w:lineRule="auto"/>
      </w:pPr>
      <w:r>
        <w:continuationSeparator/>
      </w:r>
    </w:p>
  </w:endnote>
  <w:endnote w:type="continuationNotice" w:id="1">
    <w:p w14:paraId="5C3C0D10" w14:textId="77777777" w:rsidR="005F5312" w:rsidRDefault="005F5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08255581"/>
      <w:docPartObj>
        <w:docPartGallery w:val="Page Numbers (Bottom of Page)"/>
        <w:docPartUnique/>
      </w:docPartObj>
    </w:sdtPr>
    <w:sdtEndPr>
      <w:rPr>
        <w:rStyle w:val="PageNumber"/>
      </w:rPr>
    </w:sdtEndPr>
    <w:sdtContent>
      <w:p w14:paraId="2CE55F04" w14:textId="617EE402" w:rsidR="00EE58FE" w:rsidRDefault="00EE58FE" w:rsidP="00D10D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CBD903" w14:textId="77777777" w:rsidR="00EE58FE" w:rsidRDefault="00EE5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8342314"/>
      <w:docPartObj>
        <w:docPartGallery w:val="Page Numbers (Bottom of Page)"/>
        <w:docPartUnique/>
      </w:docPartObj>
    </w:sdtPr>
    <w:sdtEndPr>
      <w:rPr>
        <w:rStyle w:val="PageNumber"/>
        <w:sz w:val="22"/>
        <w:szCs w:val="22"/>
      </w:rPr>
    </w:sdtEndPr>
    <w:sdtContent>
      <w:p w14:paraId="43092BBC" w14:textId="4AF163FB" w:rsidR="00EE58FE" w:rsidRPr="00EE58FE" w:rsidRDefault="00EE58FE" w:rsidP="00D10D1D">
        <w:pPr>
          <w:pStyle w:val="Footer"/>
          <w:framePr w:wrap="none" w:vAnchor="text" w:hAnchor="margin" w:xAlign="center" w:y="1"/>
          <w:rPr>
            <w:rStyle w:val="PageNumber"/>
            <w:sz w:val="22"/>
            <w:szCs w:val="22"/>
          </w:rPr>
        </w:pPr>
        <w:r w:rsidRPr="00EE58FE">
          <w:rPr>
            <w:rStyle w:val="PageNumber"/>
            <w:sz w:val="22"/>
            <w:szCs w:val="22"/>
          </w:rPr>
          <w:fldChar w:fldCharType="begin"/>
        </w:r>
        <w:r w:rsidRPr="00EE58FE">
          <w:rPr>
            <w:rStyle w:val="PageNumber"/>
            <w:sz w:val="22"/>
            <w:szCs w:val="22"/>
          </w:rPr>
          <w:instrText xml:space="preserve"> PAGE </w:instrText>
        </w:r>
        <w:r w:rsidRPr="00EE58FE">
          <w:rPr>
            <w:rStyle w:val="PageNumber"/>
            <w:sz w:val="22"/>
            <w:szCs w:val="22"/>
          </w:rPr>
          <w:fldChar w:fldCharType="separate"/>
        </w:r>
        <w:r w:rsidRPr="00EE58FE">
          <w:rPr>
            <w:rStyle w:val="PageNumber"/>
            <w:noProof/>
            <w:sz w:val="22"/>
            <w:szCs w:val="22"/>
          </w:rPr>
          <w:t>9</w:t>
        </w:r>
        <w:r w:rsidRPr="00EE58FE">
          <w:rPr>
            <w:rStyle w:val="PageNumber"/>
            <w:sz w:val="22"/>
            <w:szCs w:val="22"/>
          </w:rPr>
          <w:fldChar w:fldCharType="end"/>
        </w:r>
      </w:p>
    </w:sdtContent>
  </w:sdt>
  <w:p w14:paraId="751D00D5" w14:textId="77777777" w:rsidR="00EE58FE" w:rsidRDefault="00EE5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CD761" w14:textId="77777777" w:rsidR="005F5312" w:rsidRDefault="005F5312" w:rsidP="00A737BA">
      <w:pPr>
        <w:spacing w:after="0" w:line="240" w:lineRule="auto"/>
      </w:pPr>
      <w:r>
        <w:separator/>
      </w:r>
    </w:p>
  </w:footnote>
  <w:footnote w:type="continuationSeparator" w:id="0">
    <w:p w14:paraId="6126DF79" w14:textId="77777777" w:rsidR="005F5312" w:rsidRDefault="005F5312" w:rsidP="00A737BA">
      <w:pPr>
        <w:spacing w:after="0" w:line="240" w:lineRule="auto"/>
      </w:pPr>
      <w:r>
        <w:continuationSeparator/>
      </w:r>
    </w:p>
  </w:footnote>
  <w:footnote w:type="continuationNotice" w:id="1">
    <w:p w14:paraId="6A49A49B" w14:textId="77777777" w:rsidR="005F5312" w:rsidRDefault="005F53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E07B9" w14:textId="42D034B3" w:rsidR="00367720" w:rsidRPr="00367720" w:rsidRDefault="00367720">
    <w:pPr>
      <w:pStyle w:val="Header"/>
      <w:rPr>
        <w:rFonts w:ascii="Times New Roman" w:hAnsi="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E21"/>
    <w:multiLevelType w:val="hybridMultilevel"/>
    <w:tmpl w:val="4ADE9340"/>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 w15:restartNumberingAfterBreak="0">
    <w:nsid w:val="043D5A5F"/>
    <w:multiLevelType w:val="hybridMultilevel"/>
    <w:tmpl w:val="5E729CE4"/>
    <w:lvl w:ilvl="0" w:tplc="BC64F796">
      <w:start w:val="1"/>
      <w:numFmt w:val="decimal"/>
      <w:lvlText w:val="%1."/>
      <w:lvlJc w:val="left"/>
      <w:pPr>
        <w:tabs>
          <w:tab w:val="num" w:pos="720"/>
        </w:tabs>
        <w:ind w:left="720" w:hanging="360"/>
      </w:pPr>
    </w:lvl>
    <w:lvl w:ilvl="1" w:tplc="DEEA32CA">
      <w:start w:val="1"/>
      <w:numFmt w:val="decimal"/>
      <w:lvlText w:val="%2."/>
      <w:lvlJc w:val="left"/>
      <w:pPr>
        <w:tabs>
          <w:tab w:val="num" w:pos="1440"/>
        </w:tabs>
        <w:ind w:left="1440" w:hanging="360"/>
      </w:pPr>
    </w:lvl>
    <w:lvl w:ilvl="2" w:tplc="C28AAF56">
      <w:start w:val="1"/>
      <w:numFmt w:val="decimal"/>
      <w:lvlText w:val="%3."/>
      <w:lvlJc w:val="left"/>
      <w:pPr>
        <w:tabs>
          <w:tab w:val="num" w:pos="2160"/>
        </w:tabs>
        <w:ind w:left="2160" w:hanging="360"/>
      </w:pPr>
    </w:lvl>
    <w:lvl w:ilvl="3" w:tplc="24288108">
      <w:start w:val="1"/>
      <w:numFmt w:val="decimal"/>
      <w:lvlText w:val="%4."/>
      <w:lvlJc w:val="left"/>
      <w:pPr>
        <w:tabs>
          <w:tab w:val="num" w:pos="2880"/>
        </w:tabs>
        <w:ind w:left="2880" w:hanging="360"/>
      </w:pPr>
    </w:lvl>
    <w:lvl w:ilvl="4" w:tplc="912E1B2C">
      <w:start w:val="1"/>
      <w:numFmt w:val="decimal"/>
      <w:lvlText w:val="%5."/>
      <w:lvlJc w:val="left"/>
      <w:pPr>
        <w:tabs>
          <w:tab w:val="num" w:pos="3600"/>
        </w:tabs>
        <w:ind w:left="3600" w:hanging="360"/>
      </w:pPr>
    </w:lvl>
    <w:lvl w:ilvl="5" w:tplc="C06C8AD2">
      <w:start w:val="1"/>
      <w:numFmt w:val="decimal"/>
      <w:lvlText w:val="%6."/>
      <w:lvlJc w:val="left"/>
      <w:pPr>
        <w:tabs>
          <w:tab w:val="num" w:pos="4320"/>
        </w:tabs>
        <w:ind w:left="4320" w:hanging="360"/>
      </w:pPr>
    </w:lvl>
    <w:lvl w:ilvl="6" w:tplc="027EF2FA">
      <w:start w:val="1"/>
      <w:numFmt w:val="decimal"/>
      <w:lvlText w:val="%7."/>
      <w:lvlJc w:val="left"/>
      <w:pPr>
        <w:tabs>
          <w:tab w:val="num" w:pos="5040"/>
        </w:tabs>
        <w:ind w:left="5040" w:hanging="360"/>
      </w:pPr>
    </w:lvl>
    <w:lvl w:ilvl="7" w:tplc="21CAB786">
      <w:start w:val="1"/>
      <w:numFmt w:val="decimal"/>
      <w:lvlText w:val="%8."/>
      <w:lvlJc w:val="left"/>
      <w:pPr>
        <w:tabs>
          <w:tab w:val="num" w:pos="5760"/>
        </w:tabs>
        <w:ind w:left="5760" w:hanging="360"/>
      </w:pPr>
    </w:lvl>
    <w:lvl w:ilvl="8" w:tplc="1FCC20D2">
      <w:start w:val="1"/>
      <w:numFmt w:val="decimal"/>
      <w:lvlText w:val="%9."/>
      <w:lvlJc w:val="left"/>
      <w:pPr>
        <w:tabs>
          <w:tab w:val="num" w:pos="6480"/>
        </w:tabs>
        <w:ind w:left="6480" w:hanging="360"/>
      </w:pPr>
    </w:lvl>
  </w:abstractNum>
  <w:abstractNum w:abstractNumId="2" w15:restartNumberingAfterBreak="0">
    <w:nsid w:val="0A6D2024"/>
    <w:multiLevelType w:val="multilevel"/>
    <w:tmpl w:val="B04E359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008"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D9075C3"/>
    <w:multiLevelType w:val="hybridMultilevel"/>
    <w:tmpl w:val="7C1A5360"/>
    <w:lvl w:ilvl="0" w:tplc="7F5A3654">
      <w:start w:val="1"/>
      <w:numFmt w:val="lowerRoman"/>
      <w:lvlText w:val="(%1)"/>
      <w:lvlJc w:val="left"/>
      <w:pPr>
        <w:ind w:left="988" w:hanging="72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4" w15:restartNumberingAfterBreak="0">
    <w:nsid w:val="13E45411"/>
    <w:multiLevelType w:val="hybridMultilevel"/>
    <w:tmpl w:val="C100B640"/>
    <w:lvl w:ilvl="0" w:tplc="8586DCEA">
      <w:start w:val="1"/>
      <w:numFmt w:val="lowerRoman"/>
      <w:lvlText w:val="(%1)"/>
      <w:lvlJc w:val="left"/>
      <w:pPr>
        <w:ind w:left="1080" w:hanging="72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5" w15:restartNumberingAfterBreak="0">
    <w:nsid w:val="160E5993"/>
    <w:multiLevelType w:val="hybridMultilevel"/>
    <w:tmpl w:val="B8CC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B6E51"/>
    <w:multiLevelType w:val="hybridMultilevel"/>
    <w:tmpl w:val="DDAEF02C"/>
    <w:lvl w:ilvl="0" w:tplc="04090001">
      <w:start w:val="1"/>
      <w:numFmt w:val="bullet"/>
      <w:lvlText w:val=""/>
      <w:lvlJc w:val="left"/>
      <w:pPr>
        <w:ind w:left="1173" w:hanging="360"/>
      </w:pPr>
      <w:rPr>
        <w:rFonts w:ascii="Symbol" w:hAnsi="Symbol" w:hint="default"/>
      </w:rPr>
    </w:lvl>
    <w:lvl w:ilvl="1" w:tplc="04090003" w:tentative="1">
      <w:start w:val="1"/>
      <w:numFmt w:val="bullet"/>
      <w:lvlText w:val="o"/>
      <w:lvlJc w:val="left"/>
      <w:pPr>
        <w:ind w:left="1893" w:hanging="360"/>
      </w:pPr>
      <w:rPr>
        <w:rFonts w:ascii="Courier New" w:hAnsi="Courier New" w:cs="Courier New" w:hint="default"/>
      </w:rPr>
    </w:lvl>
    <w:lvl w:ilvl="2" w:tplc="04090005" w:tentative="1">
      <w:start w:val="1"/>
      <w:numFmt w:val="bullet"/>
      <w:lvlText w:val=""/>
      <w:lvlJc w:val="left"/>
      <w:pPr>
        <w:ind w:left="2613" w:hanging="360"/>
      </w:pPr>
      <w:rPr>
        <w:rFonts w:ascii="Wingdings" w:hAnsi="Wingdings" w:hint="default"/>
      </w:rPr>
    </w:lvl>
    <w:lvl w:ilvl="3" w:tplc="04090001" w:tentative="1">
      <w:start w:val="1"/>
      <w:numFmt w:val="bullet"/>
      <w:lvlText w:val=""/>
      <w:lvlJc w:val="left"/>
      <w:pPr>
        <w:ind w:left="3333" w:hanging="360"/>
      </w:pPr>
      <w:rPr>
        <w:rFonts w:ascii="Symbol" w:hAnsi="Symbol" w:hint="default"/>
      </w:rPr>
    </w:lvl>
    <w:lvl w:ilvl="4" w:tplc="04090003" w:tentative="1">
      <w:start w:val="1"/>
      <w:numFmt w:val="bullet"/>
      <w:lvlText w:val="o"/>
      <w:lvlJc w:val="left"/>
      <w:pPr>
        <w:ind w:left="4053" w:hanging="360"/>
      </w:pPr>
      <w:rPr>
        <w:rFonts w:ascii="Courier New" w:hAnsi="Courier New" w:cs="Courier New" w:hint="default"/>
      </w:rPr>
    </w:lvl>
    <w:lvl w:ilvl="5" w:tplc="04090005" w:tentative="1">
      <w:start w:val="1"/>
      <w:numFmt w:val="bullet"/>
      <w:lvlText w:val=""/>
      <w:lvlJc w:val="left"/>
      <w:pPr>
        <w:ind w:left="4773" w:hanging="360"/>
      </w:pPr>
      <w:rPr>
        <w:rFonts w:ascii="Wingdings" w:hAnsi="Wingdings" w:hint="default"/>
      </w:rPr>
    </w:lvl>
    <w:lvl w:ilvl="6" w:tplc="04090001" w:tentative="1">
      <w:start w:val="1"/>
      <w:numFmt w:val="bullet"/>
      <w:lvlText w:val=""/>
      <w:lvlJc w:val="left"/>
      <w:pPr>
        <w:ind w:left="5493" w:hanging="360"/>
      </w:pPr>
      <w:rPr>
        <w:rFonts w:ascii="Symbol" w:hAnsi="Symbol" w:hint="default"/>
      </w:rPr>
    </w:lvl>
    <w:lvl w:ilvl="7" w:tplc="04090003" w:tentative="1">
      <w:start w:val="1"/>
      <w:numFmt w:val="bullet"/>
      <w:lvlText w:val="o"/>
      <w:lvlJc w:val="left"/>
      <w:pPr>
        <w:ind w:left="6213" w:hanging="360"/>
      </w:pPr>
      <w:rPr>
        <w:rFonts w:ascii="Courier New" w:hAnsi="Courier New" w:cs="Courier New" w:hint="default"/>
      </w:rPr>
    </w:lvl>
    <w:lvl w:ilvl="8" w:tplc="04090005" w:tentative="1">
      <w:start w:val="1"/>
      <w:numFmt w:val="bullet"/>
      <w:lvlText w:val=""/>
      <w:lvlJc w:val="left"/>
      <w:pPr>
        <w:ind w:left="6933" w:hanging="360"/>
      </w:pPr>
      <w:rPr>
        <w:rFonts w:ascii="Wingdings" w:hAnsi="Wingdings" w:hint="default"/>
      </w:rPr>
    </w:lvl>
  </w:abstractNum>
  <w:abstractNum w:abstractNumId="7" w15:restartNumberingAfterBreak="0">
    <w:nsid w:val="1CE354F0"/>
    <w:multiLevelType w:val="hybridMultilevel"/>
    <w:tmpl w:val="B316E6D4"/>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1A2E57"/>
    <w:multiLevelType w:val="hybridMultilevel"/>
    <w:tmpl w:val="264EDE50"/>
    <w:lvl w:ilvl="0" w:tplc="FAB46744">
      <w:start w:val="1"/>
      <w:numFmt w:val="lowerLetter"/>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83C3919"/>
    <w:multiLevelType w:val="hybridMultilevel"/>
    <w:tmpl w:val="E8164D78"/>
    <w:lvl w:ilvl="0" w:tplc="5F140306">
      <w:start w:val="1"/>
      <w:numFmt w:val="lowerRoman"/>
      <w:lvlText w:val="(%1)"/>
      <w:lvlJc w:val="left"/>
      <w:pPr>
        <w:ind w:left="720" w:hanging="360"/>
      </w:pPr>
      <w:rPr>
        <w:rFonts w:hint="default"/>
      </w:r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10" w15:restartNumberingAfterBreak="0">
    <w:nsid w:val="2A2F06AC"/>
    <w:multiLevelType w:val="hybridMultilevel"/>
    <w:tmpl w:val="1D1E83F4"/>
    <w:lvl w:ilvl="0" w:tplc="AB542968">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C4ABB"/>
    <w:multiLevelType w:val="hybridMultilevel"/>
    <w:tmpl w:val="167C0E5C"/>
    <w:lvl w:ilvl="0" w:tplc="597A0C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24052"/>
    <w:multiLevelType w:val="hybridMultilevel"/>
    <w:tmpl w:val="AD6ED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1F1121"/>
    <w:multiLevelType w:val="multilevel"/>
    <w:tmpl w:val="C100B640"/>
    <w:styleLink w:val="CurrentList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935F7A"/>
    <w:multiLevelType w:val="hybridMultilevel"/>
    <w:tmpl w:val="254C623C"/>
    <w:lvl w:ilvl="0" w:tplc="816C84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369770C0"/>
    <w:multiLevelType w:val="hybridMultilevel"/>
    <w:tmpl w:val="9064E2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9B16C64"/>
    <w:multiLevelType w:val="hybridMultilevel"/>
    <w:tmpl w:val="67F6BC96"/>
    <w:lvl w:ilvl="0" w:tplc="4EF0B7FA">
      <w:start w:val="1"/>
      <w:numFmt w:val="lowerRoman"/>
      <w:lvlText w:val="(%1)"/>
      <w:lvlJc w:val="left"/>
      <w:pPr>
        <w:ind w:left="1168" w:hanging="72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7" w15:restartNumberingAfterBreak="0">
    <w:nsid w:val="3BDB75CF"/>
    <w:multiLevelType w:val="hybridMultilevel"/>
    <w:tmpl w:val="8B92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43D4C"/>
    <w:multiLevelType w:val="hybridMultilevel"/>
    <w:tmpl w:val="0F465902"/>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9" w15:restartNumberingAfterBreak="0">
    <w:nsid w:val="41BE5CCE"/>
    <w:multiLevelType w:val="hybridMultilevel"/>
    <w:tmpl w:val="47A299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5FE729F"/>
    <w:multiLevelType w:val="hybridMultilevel"/>
    <w:tmpl w:val="1296685E"/>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1" w15:restartNumberingAfterBreak="0">
    <w:nsid w:val="48FF27C2"/>
    <w:multiLevelType w:val="hybridMultilevel"/>
    <w:tmpl w:val="D8245E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E7B19D1"/>
    <w:multiLevelType w:val="multilevel"/>
    <w:tmpl w:val="AD623D38"/>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isLgl/>
      <w:lvlText w:val="%1.%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23" w15:restartNumberingAfterBreak="0">
    <w:nsid w:val="56D03D3B"/>
    <w:multiLevelType w:val="multilevel"/>
    <w:tmpl w:val="54F6B66C"/>
    <w:styleLink w:val="CurrentList1"/>
    <w:lvl w:ilvl="0">
      <w:start w:val="1"/>
      <w:numFmt w:val="lowerRoman"/>
      <w:lvlText w:val="%1."/>
      <w:lvlJc w:val="righ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24" w15:restartNumberingAfterBreak="0">
    <w:nsid w:val="576A53DB"/>
    <w:multiLevelType w:val="hybridMultilevel"/>
    <w:tmpl w:val="FDB82666"/>
    <w:lvl w:ilvl="0" w:tplc="1FA2116E">
      <w:start w:val="2019"/>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D5ACB"/>
    <w:multiLevelType w:val="hybridMultilevel"/>
    <w:tmpl w:val="9D9CDF84"/>
    <w:lvl w:ilvl="0" w:tplc="69B48534">
      <w:numFmt w:val="bullet"/>
      <w:lvlText w:val="-"/>
      <w:lvlJc w:val="left"/>
      <w:pPr>
        <w:ind w:left="450" w:hanging="360"/>
      </w:pPr>
      <w:rPr>
        <w:rFonts w:ascii="Times New Roman" w:eastAsia="Cambria"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62047478"/>
    <w:multiLevelType w:val="hybridMultilevel"/>
    <w:tmpl w:val="1248A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4E57A0"/>
    <w:multiLevelType w:val="multilevel"/>
    <w:tmpl w:val="1DEE7542"/>
    <w:lvl w:ilvl="0">
      <w:start w:val="1"/>
      <w:numFmt w:val="bullet"/>
      <w:pStyle w:val="JeffsPreferredBullets"/>
      <w:lvlText w:val="o"/>
      <w:lvlJc w:val="left"/>
      <w:pPr>
        <w:tabs>
          <w:tab w:val="num" w:pos="648"/>
        </w:tabs>
        <w:ind w:left="720" w:hanging="360"/>
      </w:pPr>
      <w:rPr>
        <w:rFonts w:ascii="Courier New" w:hAnsi="Courier New" w:hint="default"/>
        <w:color w:val="222222"/>
        <w:sz w:val="22"/>
        <w:szCs w:val="22"/>
        <w:u w:val="none"/>
      </w:rPr>
    </w:lvl>
    <w:lvl w:ilvl="1">
      <w:start w:val="1"/>
      <w:numFmt w:val="bullet"/>
      <w:lvlText w:val=""/>
      <w:lvlJc w:val="left"/>
      <w:pPr>
        <w:tabs>
          <w:tab w:val="num" w:pos="1152"/>
        </w:tabs>
        <w:ind w:left="1224" w:hanging="360"/>
      </w:pPr>
      <w:rPr>
        <w:rFonts w:ascii="Symbol" w:hAnsi="Symbol" w:hint="default"/>
        <w:color w:val="auto"/>
        <w:sz w:val="22"/>
        <w:szCs w:val="22"/>
        <w:u w:val="none"/>
      </w:rPr>
    </w:lvl>
    <w:lvl w:ilvl="2">
      <w:start w:val="1"/>
      <w:numFmt w:val="bullet"/>
      <w:lvlText w:val="■"/>
      <w:lvlJc w:val="left"/>
      <w:pPr>
        <w:tabs>
          <w:tab w:val="num" w:pos="1656"/>
        </w:tabs>
        <w:ind w:left="1728" w:hanging="360"/>
      </w:pPr>
      <w:rPr>
        <w:rFonts w:hint="default"/>
        <w:u w:val="none"/>
      </w:rPr>
    </w:lvl>
    <w:lvl w:ilvl="3">
      <w:start w:val="1"/>
      <w:numFmt w:val="bullet"/>
      <w:lvlText w:val="○"/>
      <w:lvlJc w:val="left"/>
      <w:pPr>
        <w:tabs>
          <w:tab w:val="num" w:pos="2160"/>
        </w:tabs>
        <w:ind w:left="2232" w:hanging="360"/>
      </w:pPr>
      <w:rPr>
        <w:rFonts w:ascii="Arial" w:hAnsi="Arial" w:hint="default"/>
        <w:color w:val="222222"/>
        <w:u w:val="none"/>
      </w:rPr>
    </w:lvl>
    <w:lvl w:ilvl="4">
      <w:start w:val="1"/>
      <w:numFmt w:val="bullet"/>
      <w:lvlText w:val="o"/>
      <w:lvlJc w:val="left"/>
      <w:pPr>
        <w:tabs>
          <w:tab w:val="num" w:pos="2664"/>
        </w:tabs>
        <w:ind w:left="2736" w:hanging="360"/>
      </w:pPr>
      <w:rPr>
        <w:rFonts w:ascii="Courier New" w:hAnsi="Courier New" w:hint="default"/>
        <w:color w:val="222222"/>
        <w:u w:val="none"/>
      </w:rPr>
    </w:lvl>
    <w:lvl w:ilvl="5">
      <w:start w:val="1"/>
      <w:numFmt w:val="bullet"/>
      <w:lvlText w:val=""/>
      <w:lvlJc w:val="left"/>
      <w:pPr>
        <w:tabs>
          <w:tab w:val="num" w:pos="3168"/>
        </w:tabs>
        <w:ind w:left="3240" w:hanging="360"/>
      </w:pPr>
      <w:rPr>
        <w:rFonts w:ascii="Symbol" w:hAnsi="Symbol" w:hint="default"/>
        <w:color w:val="auto"/>
        <w:u w:val="none"/>
      </w:rPr>
    </w:lvl>
    <w:lvl w:ilvl="6">
      <w:start w:val="1"/>
      <w:numFmt w:val="bullet"/>
      <w:lvlText w:val="■"/>
      <w:lvlJc w:val="left"/>
      <w:pPr>
        <w:tabs>
          <w:tab w:val="num" w:pos="3672"/>
        </w:tabs>
        <w:ind w:left="3744" w:hanging="360"/>
      </w:pPr>
      <w:rPr>
        <w:rFonts w:hint="default"/>
        <w:u w:val="none"/>
      </w:rPr>
    </w:lvl>
    <w:lvl w:ilvl="7">
      <w:start w:val="1"/>
      <w:numFmt w:val="bullet"/>
      <w:lvlText w:val="○"/>
      <w:lvlJc w:val="left"/>
      <w:pPr>
        <w:tabs>
          <w:tab w:val="num" w:pos="4176"/>
        </w:tabs>
        <w:ind w:left="4248" w:hanging="360"/>
      </w:pPr>
      <w:rPr>
        <w:rFonts w:hint="default"/>
        <w:u w:val="none"/>
      </w:rPr>
    </w:lvl>
    <w:lvl w:ilvl="8">
      <w:start w:val="1"/>
      <w:numFmt w:val="bullet"/>
      <w:lvlText w:val="■"/>
      <w:lvlJc w:val="left"/>
      <w:pPr>
        <w:tabs>
          <w:tab w:val="num" w:pos="4680"/>
        </w:tabs>
        <w:ind w:left="4752" w:hanging="360"/>
      </w:pPr>
      <w:rPr>
        <w:rFonts w:hint="default"/>
        <w:u w:val="none"/>
      </w:rPr>
    </w:lvl>
  </w:abstractNum>
  <w:abstractNum w:abstractNumId="28" w15:restartNumberingAfterBreak="0">
    <w:nsid w:val="6D6A43DC"/>
    <w:multiLevelType w:val="hybridMultilevel"/>
    <w:tmpl w:val="A8124DC4"/>
    <w:lvl w:ilvl="0" w:tplc="E2E4CE66">
      <w:numFmt w:val="bullet"/>
      <w:lvlText w:val="-"/>
      <w:lvlJc w:val="left"/>
      <w:pPr>
        <w:ind w:left="450" w:hanging="360"/>
      </w:pPr>
      <w:rPr>
        <w:rFonts w:ascii="Times New Roman" w:eastAsia="Cambria"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6E3128F7"/>
    <w:multiLevelType w:val="multilevel"/>
    <w:tmpl w:val="22EC13EE"/>
    <w:lvl w:ilvl="0">
      <w:start w:val="1"/>
      <w:numFmt w:val="decimal"/>
      <w:pStyle w:val="Level1"/>
      <w:suff w:val="nothing"/>
      <w:lvlText w:val="ARTICLE %1"/>
      <w:lvlJc w:val="left"/>
      <w:pPr>
        <w:ind w:left="0" w:firstLine="0"/>
      </w:pPr>
      <w:rPr>
        <w:rFonts w:hint="default"/>
        <w:b/>
        <w:i w:val="0"/>
        <w:u w:val="none"/>
      </w:rPr>
    </w:lvl>
    <w:lvl w:ilvl="1">
      <w:start w:val="1"/>
      <w:numFmt w:val="decimal"/>
      <w:pStyle w:val="Level2"/>
      <w:isLgl/>
      <w:lvlText w:val="%1.%2"/>
      <w:lvlJc w:val="left"/>
      <w:pPr>
        <w:tabs>
          <w:tab w:val="num" w:pos="1800"/>
        </w:tabs>
        <w:ind w:left="360" w:firstLine="720"/>
      </w:pPr>
      <w:rPr>
        <w:rFonts w:hint="default"/>
        <w:b w:val="0"/>
        <w:i w:val="0"/>
        <w:color w:val="auto"/>
        <w:u w:val="none"/>
      </w:rPr>
    </w:lvl>
    <w:lvl w:ilvl="2">
      <w:start w:val="1"/>
      <w:numFmt w:val="lowerLetter"/>
      <w:pStyle w:val="Level3"/>
      <w:lvlText w:val="(%3)"/>
      <w:lvlJc w:val="left"/>
      <w:pPr>
        <w:tabs>
          <w:tab w:val="num" w:pos="2160"/>
        </w:tabs>
        <w:ind w:left="0" w:firstLine="1440"/>
      </w:pPr>
      <w:rPr>
        <w:rFonts w:hint="default"/>
        <w:b w:val="0"/>
        <w:i w:val="0"/>
        <w:caps w:val="0"/>
        <w:u w:val="none"/>
      </w:rPr>
    </w:lvl>
    <w:lvl w:ilvl="3">
      <w:start w:val="1"/>
      <w:numFmt w:val="lowerRoman"/>
      <w:pStyle w:val="Level4"/>
      <w:lvlText w:val="(%4)"/>
      <w:lvlJc w:val="left"/>
      <w:pPr>
        <w:tabs>
          <w:tab w:val="num" w:pos="2880"/>
        </w:tabs>
        <w:ind w:left="0" w:firstLine="2160"/>
      </w:pPr>
      <w:rPr>
        <w:rFonts w:hint="default"/>
        <w:b w:val="0"/>
        <w:i w:val="0"/>
        <w:caps w:val="0"/>
        <w:u w:val="none"/>
      </w:rPr>
    </w:lvl>
    <w:lvl w:ilvl="4">
      <w:start w:val="1"/>
      <w:numFmt w:val="upperLetter"/>
      <w:pStyle w:val="Level5"/>
      <w:lvlText w:val="(%5)"/>
      <w:lvlJc w:val="left"/>
      <w:pPr>
        <w:tabs>
          <w:tab w:val="num" w:pos="3600"/>
        </w:tabs>
        <w:ind w:left="720" w:firstLine="2160"/>
      </w:pPr>
      <w:rPr>
        <w:rFonts w:hint="default"/>
        <w:b w:val="0"/>
        <w:i w:val="0"/>
        <w:caps/>
        <w:smallCaps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30" w15:restartNumberingAfterBreak="0">
    <w:nsid w:val="6EBF5B21"/>
    <w:multiLevelType w:val="hybridMultilevel"/>
    <w:tmpl w:val="88BE8B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7702503F"/>
    <w:multiLevelType w:val="hybridMultilevel"/>
    <w:tmpl w:val="9342D5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77ED2267"/>
    <w:multiLevelType w:val="hybridMultilevel"/>
    <w:tmpl w:val="0E2039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866017025">
    <w:abstractNumId w:val="27"/>
  </w:num>
  <w:num w:numId="2" w16cid:durableId="643437860">
    <w:abstractNumId w:val="26"/>
  </w:num>
  <w:num w:numId="3" w16cid:durableId="423259690">
    <w:abstractNumId w:val="22"/>
  </w:num>
  <w:num w:numId="4" w16cid:durableId="2097288409">
    <w:abstractNumId w:val="2"/>
  </w:num>
  <w:num w:numId="5" w16cid:durableId="892040385">
    <w:abstractNumId w:val="12"/>
  </w:num>
  <w:num w:numId="6" w16cid:durableId="1205406747">
    <w:abstractNumId w:val="31"/>
  </w:num>
  <w:num w:numId="7" w16cid:durableId="1240092237">
    <w:abstractNumId w:val="15"/>
  </w:num>
  <w:num w:numId="8" w16cid:durableId="1644309142">
    <w:abstractNumId w:val="32"/>
  </w:num>
  <w:num w:numId="9" w16cid:durableId="2090303062">
    <w:abstractNumId w:val="1"/>
  </w:num>
  <w:num w:numId="10" w16cid:durableId="1712222676">
    <w:abstractNumId w:val="24"/>
  </w:num>
  <w:num w:numId="11" w16cid:durableId="1924992492">
    <w:abstractNumId w:val="11"/>
  </w:num>
  <w:num w:numId="12" w16cid:durableId="2027949587">
    <w:abstractNumId w:val="14"/>
  </w:num>
  <w:num w:numId="13" w16cid:durableId="1548567286">
    <w:abstractNumId w:val="9"/>
  </w:num>
  <w:num w:numId="14" w16cid:durableId="1551457430">
    <w:abstractNumId w:val="16"/>
  </w:num>
  <w:num w:numId="15" w16cid:durableId="1960255582">
    <w:abstractNumId w:val="23"/>
  </w:num>
  <w:num w:numId="16" w16cid:durableId="992031034">
    <w:abstractNumId w:val="10"/>
  </w:num>
  <w:num w:numId="17" w16cid:durableId="557280095">
    <w:abstractNumId w:val="3"/>
  </w:num>
  <w:num w:numId="18" w16cid:durableId="1412310349">
    <w:abstractNumId w:val="7"/>
  </w:num>
  <w:num w:numId="19" w16cid:durableId="256330550">
    <w:abstractNumId w:val="8"/>
  </w:num>
  <w:num w:numId="20" w16cid:durableId="1794865924">
    <w:abstractNumId w:val="19"/>
  </w:num>
  <w:num w:numId="21" w16cid:durableId="2015572873">
    <w:abstractNumId w:val="4"/>
  </w:num>
  <w:num w:numId="22" w16cid:durableId="1856921320">
    <w:abstractNumId w:val="18"/>
  </w:num>
  <w:num w:numId="23" w16cid:durableId="1268075704">
    <w:abstractNumId w:val="0"/>
  </w:num>
  <w:num w:numId="24" w16cid:durableId="712120659">
    <w:abstractNumId w:val="21"/>
  </w:num>
  <w:num w:numId="25" w16cid:durableId="287325058">
    <w:abstractNumId w:val="17"/>
  </w:num>
  <w:num w:numId="26" w16cid:durableId="1781222518">
    <w:abstractNumId w:val="5"/>
  </w:num>
  <w:num w:numId="27" w16cid:durableId="580220355">
    <w:abstractNumId w:val="6"/>
  </w:num>
  <w:num w:numId="28" w16cid:durableId="336033965">
    <w:abstractNumId w:val="20"/>
  </w:num>
  <w:num w:numId="29" w16cid:durableId="1363163362">
    <w:abstractNumId w:val="30"/>
  </w:num>
  <w:num w:numId="30" w16cid:durableId="20343803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7331724">
    <w:abstractNumId w:val="25"/>
  </w:num>
  <w:num w:numId="32" w16cid:durableId="1979873931">
    <w:abstractNumId w:val="28"/>
  </w:num>
  <w:num w:numId="33" w16cid:durableId="11369208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A2"/>
    <w:rsid w:val="00000FF6"/>
    <w:rsid w:val="000013D8"/>
    <w:rsid w:val="0000297A"/>
    <w:rsid w:val="000030FD"/>
    <w:rsid w:val="00005C9E"/>
    <w:rsid w:val="00006557"/>
    <w:rsid w:val="00010876"/>
    <w:rsid w:val="0001317F"/>
    <w:rsid w:val="00013D85"/>
    <w:rsid w:val="0001444C"/>
    <w:rsid w:val="0002019F"/>
    <w:rsid w:val="000242A9"/>
    <w:rsid w:val="00025175"/>
    <w:rsid w:val="0003435B"/>
    <w:rsid w:val="000349D4"/>
    <w:rsid w:val="00041478"/>
    <w:rsid w:val="00042BAF"/>
    <w:rsid w:val="000434A7"/>
    <w:rsid w:val="000441E7"/>
    <w:rsid w:val="000454C2"/>
    <w:rsid w:val="00047DD2"/>
    <w:rsid w:val="0005087F"/>
    <w:rsid w:val="000552A1"/>
    <w:rsid w:val="000563A7"/>
    <w:rsid w:val="000563DE"/>
    <w:rsid w:val="00060891"/>
    <w:rsid w:val="000630B5"/>
    <w:rsid w:val="00063828"/>
    <w:rsid w:val="00063EE3"/>
    <w:rsid w:val="000645E5"/>
    <w:rsid w:val="00066E86"/>
    <w:rsid w:val="000703C8"/>
    <w:rsid w:val="000718B7"/>
    <w:rsid w:val="00074F14"/>
    <w:rsid w:val="00075D39"/>
    <w:rsid w:val="000764A5"/>
    <w:rsid w:val="00076A27"/>
    <w:rsid w:val="000830E2"/>
    <w:rsid w:val="0008334C"/>
    <w:rsid w:val="00086178"/>
    <w:rsid w:val="000911C1"/>
    <w:rsid w:val="00092108"/>
    <w:rsid w:val="000927B1"/>
    <w:rsid w:val="0009349E"/>
    <w:rsid w:val="00093764"/>
    <w:rsid w:val="00095C26"/>
    <w:rsid w:val="000A1904"/>
    <w:rsid w:val="000A2E3F"/>
    <w:rsid w:val="000B2AE1"/>
    <w:rsid w:val="000B2F54"/>
    <w:rsid w:val="000B3A10"/>
    <w:rsid w:val="000B6036"/>
    <w:rsid w:val="000C541F"/>
    <w:rsid w:val="000D267C"/>
    <w:rsid w:val="000D4C0D"/>
    <w:rsid w:val="000D7750"/>
    <w:rsid w:val="000E062A"/>
    <w:rsid w:val="000E0D71"/>
    <w:rsid w:val="000E175E"/>
    <w:rsid w:val="000E7476"/>
    <w:rsid w:val="000F3CBF"/>
    <w:rsid w:val="000F40C6"/>
    <w:rsid w:val="0010068B"/>
    <w:rsid w:val="001016C4"/>
    <w:rsid w:val="00103132"/>
    <w:rsid w:val="001054E7"/>
    <w:rsid w:val="001134F4"/>
    <w:rsid w:val="0011548F"/>
    <w:rsid w:val="00115A80"/>
    <w:rsid w:val="00115ED7"/>
    <w:rsid w:val="00116758"/>
    <w:rsid w:val="0012049F"/>
    <w:rsid w:val="00122129"/>
    <w:rsid w:val="00124039"/>
    <w:rsid w:val="00126F05"/>
    <w:rsid w:val="00126F2D"/>
    <w:rsid w:val="0012733C"/>
    <w:rsid w:val="00130F6A"/>
    <w:rsid w:val="00130FA9"/>
    <w:rsid w:val="001315A6"/>
    <w:rsid w:val="00140C91"/>
    <w:rsid w:val="00142DC3"/>
    <w:rsid w:val="00143BBE"/>
    <w:rsid w:val="00143DAA"/>
    <w:rsid w:val="00144516"/>
    <w:rsid w:val="00153311"/>
    <w:rsid w:val="001554F7"/>
    <w:rsid w:val="001621C1"/>
    <w:rsid w:val="00166B31"/>
    <w:rsid w:val="001679C5"/>
    <w:rsid w:val="00170803"/>
    <w:rsid w:val="001715EA"/>
    <w:rsid w:val="00171746"/>
    <w:rsid w:val="001727A0"/>
    <w:rsid w:val="00174D93"/>
    <w:rsid w:val="00180D51"/>
    <w:rsid w:val="00184705"/>
    <w:rsid w:val="00185270"/>
    <w:rsid w:val="00186EA5"/>
    <w:rsid w:val="001879D6"/>
    <w:rsid w:val="00194F32"/>
    <w:rsid w:val="001957FF"/>
    <w:rsid w:val="0019797B"/>
    <w:rsid w:val="001A1C1F"/>
    <w:rsid w:val="001A3C4B"/>
    <w:rsid w:val="001A5A62"/>
    <w:rsid w:val="001A73DB"/>
    <w:rsid w:val="001B0524"/>
    <w:rsid w:val="001B2057"/>
    <w:rsid w:val="001B29CC"/>
    <w:rsid w:val="001B3070"/>
    <w:rsid w:val="001B3894"/>
    <w:rsid w:val="001B527B"/>
    <w:rsid w:val="001B6901"/>
    <w:rsid w:val="001B764F"/>
    <w:rsid w:val="001C37F2"/>
    <w:rsid w:val="001C4EDF"/>
    <w:rsid w:val="001C503F"/>
    <w:rsid w:val="001C6FFF"/>
    <w:rsid w:val="001C7BAF"/>
    <w:rsid w:val="001D2C9F"/>
    <w:rsid w:val="001D4134"/>
    <w:rsid w:val="001D5726"/>
    <w:rsid w:val="001D5EA1"/>
    <w:rsid w:val="001E3399"/>
    <w:rsid w:val="001E4DD5"/>
    <w:rsid w:val="001E54C9"/>
    <w:rsid w:val="001E6CD0"/>
    <w:rsid w:val="001E7B2E"/>
    <w:rsid w:val="001F315C"/>
    <w:rsid w:val="001F5A70"/>
    <w:rsid w:val="00202AB4"/>
    <w:rsid w:val="0020452C"/>
    <w:rsid w:val="00210355"/>
    <w:rsid w:val="0021257B"/>
    <w:rsid w:val="00214618"/>
    <w:rsid w:val="002152A4"/>
    <w:rsid w:val="0021572F"/>
    <w:rsid w:val="00224268"/>
    <w:rsid w:val="0022680B"/>
    <w:rsid w:val="00230CE1"/>
    <w:rsid w:val="00230EE3"/>
    <w:rsid w:val="002346BB"/>
    <w:rsid w:val="00235210"/>
    <w:rsid w:val="0023524A"/>
    <w:rsid w:val="002373D9"/>
    <w:rsid w:val="00240B0D"/>
    <w:rsid w:val="00241BA7"/>
    <w:rsid w:val="00242823"/>
    <w:rsid w:val="00242974"/>
    <w:rsid w:val="002452CD"/>
    <w:rsid w:val="0024688D"/>
    <w:rsid w:val="00251D55"/>
    <w:rsid w:val="00252739"/>
    <w:rsid w:val="002569FA"/>
    <w:rsid w:val="00260CED"/>
    <w:rsid w:val="0026151A"/>
    <w:rsid w:val="002615E8"/>
    <w:rsid w:val="0026365F"/>
    <w:rsid w:val="00263B8E"/>
    <w:rsid w:val="00264DF1"/>
    <w:rsid w:val="00265588"/>
    <w:rsid w:val="002666B3"/>
    <w:rsid w:val="00266EDD"/>
    <w:rsid w:val="00271A05"/>
    <w:rsid w:val="00275C71"/>
    <w:rsid w:val="002762A2"/>
    <w:rsid w:val="00285870"/>
    <w:rsid w:val="00286D81"/>
    <w:rsid w:val="00287245"/>
    <w:rsid w:val="0028751B"/>
    <w:rsid w:val="00287541"/>
    <w:rsid w:val="00290CC7"/>
    <w:rsid w:val="00292609"/>
    <w:rsid w:val="00292C77"/>
    <w:rsid w:val="00295B6F"/>
    <w:rsid w:val="00295E8A"/>
    <w:rsid w:val="00297722"/>
    <w:rsid w:val="002A0188"/>
    <w:rsid w:val="002A2B13"/>
    <w:rsid w:val="002A4E01"/>
    <w:rsid w:val="002B1414"/>
    <w:rsid w:val="002B563E"/>
    <w:rsid w:val="002C1B7F"/>
    <w:rsid w:val="002C30F5"/>
    <w:rsid w:val="002C3BCF"/>
    <w:rsid w:val="002C547E"/>
    <w:rsid w:val="002C5A91"/>
    <w:rsid w:val="002C5AA2"/>
    <w:rsid w:val="002D5977"/>
    <w:rsid w:val="002D6B6C"/>
    <w:rsid w:val="002E1375"/>
    <w:rsid w:val="002E18E6"/>
    <w:rsid w:val="002E431F"/>
    <w:rsid w:val="002E49FC"/>
    <w:rsid w:val="002E6CB8"/>
    <w:rsid w:val="002E76B2"/>
    <w:rsid w:val="002E7B8B"/>
    <w:rsid w:val="002F3455"/>
    <w:rsid w:val="002F4CE9"/>
    <w:rsid w:val="002F53C9"/>
    <w:rsid w:val="002F5F59"/>
    <w:rsid w:val="002F6BA4"/>
    <w:rsid w:val="002F751A"/>
    <w:rsid w:val="00302F1B"/>
    <w:rsid w:val="00310831"/>
    <w:rsid w:val="0031172C"/>
    <w:rsid w:val="0031359B"/>
    <w:rsid w:val="0031583E"/>
    <w:rsid w:val="00316C31"/>
    <w:rsid w:val="003204B1"/>
    <w:rsid w:val="00320C89"/>
    <w:rsid w:val="003219B6"/>
    <w:rsid w:val="003226B7"/>
    <w:rsid w:val="00322AB8"/>
    <w:rsid w:val="003352C0"/>
    <w:rsid w:val="00343E65"/>
    <w:rsid w:val="00345F47"/>
    <w:rsid w:val="00351E29"/>
    <w:rsid w:val="00353BB0"/>
    <w:rsid w:val="00354938"/>
    <w:rsid w:val="00356584"/>
    <w:rsid w:val="00360E06"/>
    <w:rsid w:val="00364EC5"/>
    <w:rsid w:val="003653EC"/>
    <w:rsid w:val="003675FD"/>
    <w:rsid w:val="00367720"/>
    <w:rsid w:val="00370531"/>
    <w:rsid w:val="00370FFC"/>
    <w:rsid w:val="00372029"/>
    <w:rsid w:val="0037540B"/>
    <w:rsid w:val="00376C46"/>
    <w:rsid w:val="003778AC"/>
    <w:rsid w:val="00377D94"/>
    <w:rsid w:val="00380367"/>
    <w:rsid w:val="003812DF"/>
    <w:rsid w:val="00382DC8"/>
    <w:rsid w:val="0038309D"/>
    <w:rsid w:val="003842AA"/>
    <w:rsid w:val="00386757"/>
    <w:rsid w:val="00387848"/>
    <w:rsid w:val="003914DF"/>
    <w:rsid w:val="0039189D"/>
    <w:rsid w:val="00392254"/>
    <w:rsid w:val="0039252F"/>
    <w:rsid w:val="00392E6B"/>
    <w:rsid w:val="003971A2"/>
    <w:rsid w:val="003A20A5"/>
    <w:rsid w:val="003A210A"/>
    <w:rsid w:val="003A2451"/>
    <w:rsid w:val="003A284E"/>
    <w:rsid w:val="003A50E1"/>
    <w:rsid w:val="003B3700"/>
    <w:rsid w:val="003B4743"/>
    <w:rsid w:val="003B489A"/>
    <w:rsid w:val="003B6D54"/>
    <w:rsid w:val="003B7287"/>
    <w:rsid w:val="003C05C8"/>
    <w:rsid w:val="003C1A8E"/>
    <w:rsid w:val="003C2B9F"/>
    <w:rsid w:val="003C2D5F"/>
    <w:rsid w:val="003C5B17"/>
    <w:rsid w:val="003C63FE"/>
    <w:rsid w:val="003E0BEC"/>
    <w:rsid w:val="003E0F15"/>
    <w:rsid w:val="003E15E2"/>
    <w:rsid w:val="003E256F"/>
    <w:rsid w:val="003E29E4"/>
    <w:rsid w:val="003E334F"/>
    <w:rsid w:val="003E45E8"/>
    <w:rsid w:val="003E5327"/>
    <w:rsid w:val="003E5357"/>
    <w:rsid w:val="003E5EFC"/>
    <w:rsid w:val="003E7307"/>
    <w:rsid w:val="003E739D"/>
    <w:rsid w:val="003F021F"/>
    <w:rsid w:val="003F2665"/>
    <w:rsid w:val="003F2942"/>
    <w:rsid w:val="003F4DA0"/>
    <w:rsid w:val="00406A35"/>
    <w:rsid w:val="004115BA"/>
    <w:rsid w:val="004118C9"/>
    <w:rsid w:val="00411A42"/>
    <w:rsid w:val="00411A46"/>
    <w:rsid w:val="00411D1C"/>
    <w:rsid w:val="004123B0"/>
    <w:rsid w:val="00412428"/>
    <w:rsid w:val="00415009"/>
    <w:rsid w:val="00416100"/>
    <w:rsid w:val="0041701C"/>
    <w:rsid w:val="00422C2E"/>
    <w:rsid w:val="00423E90"/>
    <w:rsid w:val="004244E3"/>
    <w:rsid w:val="00424E22"/>
    <w:rsid w:val="00425C2C"/>
    <w:rsid w:val="00432036"/>
    <w:rsid w:val="004327E6"/>
    <w:rsid w:val="00434A32"/>
    <w:rsid w:val="00437948"/>
    <w:rsid w:val="00440367"/>
    <w:rsid w:val="00442309"/>
    <w:rsid w:val="004477D9"/>
    <w:rsid w:val="00447F7F"/>
    <w:rsid w:val="00450D50"/>
    <w:rsid w:val="00454EF9"/>
    <w:rsid w:val="00455459"/>
    <w:rsid w:val="00456161"/>
    <w:rsid w:val="00456EAC"/>
    <w:rsid w:val="00457C93"/>
    <w:rsid w:val="00461D5B"/>
    <w:rsid w:val="004653CB"/>
    <w:rsid w:val="00465705"/>
    <w:rsid w:val="004661BF"/>
    <w:rsid w:val="00466272"/>
    <w:rsid w:val="0046666A"/>
    <w:rsid w:val="004700EC"/>
    <w:rsid w:val="0047070A"/>
    <w:rsid w:val="004707AC"/>
    <w:rsid w:val="00470ECE"/>
    <w:rsid w:val="00471735"/>
    <w:rsid w:val="00471B8B"/>
    <w:rsid w:val="00472F4A"/>
    <w:rsid w:val="0047310A"/>
    <w:rsid w:val="0047560E"/>
    <w:rsid w:val="004776F6"/>
    <w:rsid w:val="00487C64"/>
    <w:rsid w:val="00490F3A"/>
    <w:rsid w:val="00492220"/>
    <w:rsid w:val="00496226"/>
    <w:rsid w:val="00497E3E"/>
    <w:rsid w:val="004A24C0"/>
    <w:rsid w:val="004A369E"/>
    <w:rsid w:val="004A4500"/>
    <w:rsid w:val="004A5546"/>
    <w:rsid w:val="004A77BC"/>
    <w:rsid w:val="004B174E"/>
    <w:rsid w:val="004C16FD"/>
    <w:rsid w:val="004C325A"/>
    <w:rsid w:val="004C6A7F"/>
    <w:rsid w:val="004D2510"/>
    <w:rsid w:val="004D257A"/>
    <w:rsid w:val="004D2DB5"/>
    <w:rsid w:val="004D408E"/>
    <w:rsid w:val="004E1B07"/>
    <w:rsid w:val="004E2FA4"/>
    <w:rsid w:val="004E310A"/>
    <w:rsid w:val="004E4201"/>
    <w:rsid w:val="004E60BA"/>
    <w:rsid w:val="004E655D"/>
    <w:rsid w:val="004F4967"/>
    <w:rsid w:val="004F6D35"/>
    <w:rsid w:val="004F6F09"/>
    <w:rsid w:val="004F7A7F"/>
    <w:rsid w:val="005007F1"/>
    <w:rsid w:val="005009D6"/>
    <w:rsid w:val="005013D4"/>
    <w:rsid w:val="00502958"/>
    <w:rsid w:val="00505D2D"/>
    <w:rsid w:val="00506408"/>
    <w:rsid w:val="00506E39"/>
    <w:rsid w:val="0051279C"/>
    <w:rsid w:val="00512F60"/>
    <w:rsid w:val="00515A1A"/>
    <w:rsid w:val="0052467C"/>
    <w:rsid w:val="005246F1"/>
    <w:rsid w:val="005249F2"/>
    <w:rsid w:val="00527EB7"/>
    <w:rsid w:val="00530462"/>
    <w:rsid w:val="00532830"/>
    <w:rsid w:val="00532CAD"/>
    <w:rsid w:val="0053467C"/>
    <w:rsid w:val="0054173F"/>
    <w:rsid w:val="0054383F"/>
    <w:rsid w:val="00543A2C"/>
    <w:rsid w:val="00554F85"/>
    <w:rsid w:val="00555896"/>
    <w:rsid w:val="0055603C"/>
    <w:rsid w:val="00556316"/>
    <w:rsid w:val="0055713A"/>
    <w:rsid w:val="00564AB1"/>
    <w:rsid w:val="00566495"/>
    <w:rsid w:val="005702D7"/>
    <w:rsid w:val="00571B93"/>
    <w:rsid w:val="00574E00"/>
    <w:rsid w:val="00575196"/>
    <w:rsid w:val="0057521A"/>
    <w:rsid w:val="00581138"/>
    <w:rsid w:val="005811BB"/>
    <w:rsid w:val="005820C1"/>
    <w:rsid w:val="005873AD"/>
    <w:rsid w:val="00590A9C"/>
    <w:rsid w:val="00592262"/>
    <w:rsid w:val="005933B8"/>
    <w:rsid w:val="005A1075"/>
    <w:rsid w:val="005A13B4"/>
    <w:rsid w:val="005A58AD"/>
    <w:rsid w:val="005A6A21"/>
    <w:rsid w:val="005B26E0"/>
    <w:rsid w:val="005B31EA"/>
    <w:rsid w:val="005B4646"/>
    <w:rsid w:val="005B4FC1"/>
    <w:rsid w:val="005B6211"/>
    <w:rsid w:val="005B6BE0"/>
    <w:rsid w:val="005C4C34"/>
    <w:rsid w:val="005C4FEF"/>
    <w:rsid w:val="005C5E1F"/>
    <w:rsid w:val="005C66FF"/>
    <w:rsid w:val="005C7A35"/>
    <w:rsid w:val="005D07F2"/>
    <w:rsid w:val="005D0B35"/>
    <w:rsid w:val="005D168F"/>
    <w:rsid w:val="005D290C"/>
    <w:rsid w:val="005D29DA"/>
    <w:rsid w:val="005D40F5"/>
    <w:rsid w:val="005D5EDE"/>
    <w:rsid w:val="005D75C3"/>
    <w:rsid w:val="005E3CE9"/>
    <w:rsid w:val="005E4682"/>
    <w:rsid w:val="005E7790"/>
    <w:rsid w:val="005F1848"/>
    <w:rsid w:val="005F5312"/>
    <w:rsid w:val="00605BFC"/>
    <w:rsid w:val="0060649C"/>
    <w:rsid w:val="00607994"/>
    <w:rsid w:val="00607D1F"/>
    <w:rsid w:val="00613F75"/>
    <w:rsid w:val="0061461F"/>
    <w:rsid w:val="00615EF0"/>
    <w:rsid w:val="00623F17"/>
    <w:rsid w:val="006241C7"/>
    <w:rsid w:val="00633C1C"/>
    <w:rsid w:val="006363C8"/>
    <w:rsid w:val="0064196C"/>
    <w:rsid w:val="006478CB"/>
    <w:rsid w:val="00652628"/>
    <w:rsid w:val="0065395F"/>
    <w:rsid w:val="006547CF"/>
    <w:rsid w:val="00655C93"/>
    <w:rsid w:val="006669CD"/>
    <w:rsid w:val="00673A26"/>
    <w:rsid w:val="006752DE"/>
    <w:rsid w:val="00677734"/>
    <w:rsid w:val="00680A81"/>
    <w:rsid w:val="00682E27"/>
    <w:rsid w:val="00684968"/>
    <w:rsid w:val="00684AD7"/>
    <w:rsid w:val="00684DAA"/>
    <w:rsid w:val="006856FE"/>
    <w:rsid w:val="00687C5A"/>
    <w:rsid w:val="006907FC"/>
    <w:rsid w:val="00690A78"/>
    <w:rsid w:val="006A2CC3"/>
    <w:rsid w:val="006A2D68"/>
    <w:rsid w:val="006A2F46"/>
    <w:rsid w:val="006A4A57"/>
    <w:rsid w:val="006A4BD3"/>
    <w:rsid w:val="006A53D9"/>
    <w:rsid w:val="006A55F3"/>
    <w:rsid w:val="006A567E"/>
    <w:rsid w:val="006B26BC"/>
    <w:rsid w:val="006B681A"/>
    <w:rsid w:val="006B6FD9"/>
    <w:rsid w:val="006B7F20"/>
    <w:rsid w:val="006C142C"/>
    <w:rsid w:val="006C236C"/>
    <w:rsid w:val="006C44FD"/>
    <w:rsid w:val="006C4F94"/>
    <w:rsid w:val="006C705B"/>
    <w:rsid w:val="006C758A"/>
    <w:rsid w:val="006C7EE1"/>
    <w:rsid w:val="006D4585"/>
    <w:rsid w:val="006D7BB5"/>
    <w:rsid w:val="006E00E7"/>
    <w:rsid w:val="006F0B2A"/>
    <w:rsid w:val="006F0B87"/>
    <w:rsid w:val="006F110A"/>
    <w:rsid w:val="006F377A"/>
    <w:rsid w:val="006F54A7"/>
    <w:rsid w:val="006F730A"/>
    <w:rsid w:val="0070005E"/>
    <w:rsid w:val="00703AA4"/>
    <w:rsid w:val="00704064"/>
    <w:rsid w:val="007054E8"/>
    <w:rsid w:val="007079BC"/>
    <w:rsid w:val="007163A0"/>
    <w:rsid w:val="00716434"/>
    <w:rsid w:val="0072273D"/>
    <w:rsid w:val="0072334C"/>
    <w:rsid w:val="007237E1"/>
    <w:rsid w:val="00725617"/>
    <w:rsid w:val="00726A62"/>
    <w:rsid w:val="00726FF3"/>
    <w:rsid w:val="00732B8F"/>
    <w:rsid w:val="00733828"/>
    <w:rsid w:val="00733CD9"/>
    <w:rsid w:val="00736E21"/>
    <w:rsid w:val="00740DEE"/>
    <w:rsid w:val="00742611"/>
    <w:rsid w:val="00745731"/>
    <w:rsid w:val="00747025"/>
    <w:rsid w:val="00750222"/>
    <w:rsid w:val="00761621"/>
    <w:rsid w:val="00762520"/>
    <w:rsid w:val="00763005"/>
    <w:rsid w:val="00765147"/>
    <w:rsid w:val="007652D0"/>
    <w:rsid w:val="00766E7B"/>
    <w:rsid w:val="00767C20"/>
    <w:rsid w:val="007701D8"/>
    <w:rsid w:val="00770836"/>
    <w:rsid w:val="007768D3"/>
    <w:rsid w:val="00782D39"/>
    <w:rsid w:val="007842EF"/>
    <w:rsid w:val="00785531"/>
    <w:rsid w:val="00792ADA"/>
    <w:rsid w:val="0079358B"/>
    <w:rsid w:val="00795F69"/>
    <w:rsid w:val="007963B3"/>
    <w:rsid w:val="00797B7C"/>
    <w:rsid w:val="007A0BDC"/>
    <w:rsid w:val="007A2912"/>
    <w:rsid w:val="007A3882"/>
    <w:rsid w:val="007A3D46"/>
    <w:rsid w:val="007A5043"/>
    <w:rsid w:val="007A7FDB"/>
    <w:rsid w:val="007B18F3"/>
    <w:rsid w:val="007B3358"/>
    <w:rsid w:val="007B543F"/>
    <w:rsid w:val="007B666F"/>
    <w:rsid w:val="007B752C"/>
    <w:rsid w:val="007C020D"/>
    <w:rsid w:val="007C3F8D"/>
    <w:rsid w:val="007C4202"/>
    <w:rsid w:val="007C79A7"/>
    <w:rsid w:val="007D212E"/>
    <w:rsid w:val="007D24F5"/>
    <w:rsid w:val="007D4FCC"/>
    <w:rsid w:val="007D7B51"/>
    <w:rsid w:val="007E0A84"/>
    <w:rsid w:val="007E0FC4"/>
    <w:rsid w:val="007E2C00"/>
    <w:rsid w:val="007E2FCB"/>
    <w:rsid w:val="007E5E8B"/>
    <w:rsid w:val="007E61E6"/>
    <w:rsid w:val="007E75A1"/>
    <w:rsid w:val="007F4DA9"/>
    <w:rsid w:val="007F50E4"/>
    <w:rsid w:val="008013BD"/>
    <w:rsid w:val="00801C1B"/>
    <w:rsid w:val="008040B7"/>
    <w:rsid w:val="00804F51"/>
    <w:rsid w:val="008071BD"/>
    <w:rsid w:val="00812D6B"/>
    <w:rsid w:val="00813567"/>
    <w:rsid w:val="00813675"/>
    <w:rsid w:val="00816A34"/>
    <w:rsid w:val="008202F2"/>
    <w:rsid w:val="0082079C"/>
    <w:rsid w:val="00821D22"/>
    <w:rsid w:val="00825B0B"/>
    <w:rsid w:val="00826787"/>
    <w:rsid w:val="00826AA5"/>
    <w:rsid w:val="00830102"/>
    <w:rsid w:val="00830660"/>
    <w:rsid w:val="008314E2"/>
    <w:rsid w:val="00831552"/>
    <w:rsid w:val="00835A66"/>
    <w:rsid w:val="0084307C"/>
    <w:rsid w:val="008459B7"/>
    <w:rsid w:val="00845C2E"/>
    <w:rsid w:val="00847456"/>
    <w:rsid w:val="0085116C"/>
    <w:rsid w:val="00852603"/>
    <w:rsid w:val="00852BDA"/>
    <w:rsid w:val="00853F77"/>
    <w:rsid w:val="00855717"/>
    <w:rsid w:val="00855E79"/>
    <w:rsid w:val="00861A60"/>
    <w:rsid w:val="00863D71"/>
    <w:rsid w:val="008653CF"/>
    <w:rsid w:val="00867E82"/>
    <w:rsid w:val="00874697"/>
    <w:rsid w:val="00874775"/>
    <w:rsid w:val="00874787"/>
    <w:rsid w:val="00874F32"/>
    <w:rsid w:val="008768CD"/>
    <w:rsid w:val="00880A00"/>
    <w:rsid w:val="00881CA3"/>
    <w:rsid w:val="00882BF5"/>
    <w:rsid w:val="00882F4C"/>
    <w:rsid w:val="00884147"/>
    <w:rsid w:val="008855C5"/>
    <w:rsid w:val="00885941"/>
    <w:rsid w:val="00890390"/>
    <w:rsid w:val="00891677"/>
    <w:rsid w:val="0089265C"/>
    <w:rsid w:val="00892A0C"/>
    <w:rsid w:val="00893E63"/>
    <w:rsid w:val="00894033"/>
    <w:rsid w:val="0089502A"/>
    <w:rsid w:val="008A12C9"/>
    <w:rsid w:val="008A245A"/>
    <w:rsid w:val="008A3CE5"/>
    <w:rsid w:val="008A453C"/>
    <w:rsid w:val="008A4D1B"/>
    <w:rsid w:val="008A60CF"/>
    <w:rsid w:val="008B5393"/>
    <w:rsid w:val="008C1276"/>
    <w:rsid w:val="008C6221"/>
    <w:rsid w:val="008C6BBD"/>
    <w:rsid w:val="008D3B28"/>
    <w:rsid w:val="008D6CAB"/>
    <w:rsid w:val="008D7087"/>
    <w:rsid w:val="008E77AE"/>
    <w:rsid w:val="008F1B1E"/>
    <w:rsid w:val="008F1DF2"/>
    <w:rsid w:val="008F21D7"/>
    <w:rsid w:val="008F3341"/>
    <w:rsid w:val="008F578D"/>
    <w:rsid w:val="008F70AD"/>
    <w:rsid w:val="00901DEA"/>
    <w:rsid w:val="00903D95"/>
    <w:rsid w:val="00904CC3"/>
    <w:rsid w:val="00906A4E"/>
    <w:rsid w:val="009117C8"/>
    <w:rsid w:val="009118F6"/>
    <w:rsid w:val="00912FEA"/>
    <w:rsid w:val="0091554A"/>
    <w:rsid w:val="0091640D"/>
    <w:rsid w:val="00916C85"/>
    <w:rsid w:val="00920133"/>
    <w:rsid w:val="0092219A"/>
    <w:rsid w:val="009259B2"/>
    <w:rsid w:val="00926915"/>
    <w:rsid w:val="0093011F"/>
    <w:rsid w:val="00933B91"/>
    <w:rsid w:val="00933EB1"/>
    <w:rsid w:val="00940461"/>
    <w:rsid w:val="009421B9"/>
    <w:rsid w:val="00943869"/>
    <w:rsid w:val="0094767D"/>
    <w:rsid w:val="009501BC"/>
    <w:rsid w:val="00950232"/>
    <w:rsid w:val="00950721"/>
    <w:rsid w:val="0095288B"/>
    <w:rsid w:val="009565C7"/>
    <w:rsid w:val="009566B6"/>
    <w:rsid w:val="00957847"/>
    <w:rsid w:val="00960A95"/>
    <w:rsid w:val="00960D7F"/>
    <w:rsid w:val="00961E2C"/>
    <w:rsid w:val="00963A8A"/>
    <w:rsid w:val="0096420E"/>
    <w:rsid w:val="00965ABD"/>
    <w:rsid w:val="0097140E"/>
    <w:rsid w:val="00972AB7"/>
    <w:rsid w:val="00972D76"/>
    <w:rsid w:val="00977E5A"/>
    <w:rsid w:val="00980642"/>
    <w:rsid w:val="009821C1"/>
    <w:rsid w:val="009834A7"/>
    <w:rsid w:val="00983CDF"/>
    <w:rsid w:val="009845E8"/>
    <w:rsid w:val="00984B0D"/>
    <w:rsid w:val="00986012"/>
    <w:rsid w:val="00987F6C"/>
    <w:rsid w:val="00990C30"/>
    <w:rsid w:val="00993001"/>
    <w:rsid w:val="00995085"/>
    <w:rsid w:val="0099792B"/>
    <w:rsid w:val="009A3938"/>
    <w:rsid w:val="009B08EA"/>
    <w:rsid w:val="009B0CB1"/>
    <w:rsid w:val="009B5045"/>
    <w:rsid w:val="009B539B"/>
    <w:rsid w:val="009B76FB"/>
    <w:rsid w:val="009C085B"/>
    <w:rsid w:val="009C173D"/>
    <w:rsid w:val="009C4AC9"/>
    <w:rsid w:val="009C608F"/>
    <w:rsid w:val="009D3223"/>
    <w:rsid w:val="009D372B"/>
    <w:rsid w:val="009D527A"/>
    <w:rsid w:val="009D57E1"/>
    <w:rsid w:val="009D5908"/>
    <w:rsid w:val="009E30FA"/>
    <w:rsid w:val="009E3DD0"/>
    <w:rsid w:val="009E4741"/>
    <w:rsid w:val="009E5285"/>
    <w:rsid w:val="009E6814"/>
    <w:rsid w:val="009F3DB0"/>
    <w:rsid w:val="009F4B46"/>
    <w:rsid w:val="00A00764"/>
    <w:rsid w:val="00A01743"/>
    <w:rsid w:val="00A02652"/>
    <w:rsid w:val="00A0423A"/>
    <w:rsid w:val="00A06A9A"/>
    <w:rsid w:val="00A07FDD"/>
    <w:rsid w:val="00A1216E"/>
    <w:rsid w:val="00A1296E"/>
    <w:rsid w:val="00A13D51"/>
    <w:rsid w:val="00A142A2"/>
    <w:rsid w:val="00A15267"/>
    <w:rsid w:val="00A21BA6"/>
    <w:rsid w:val="00A23BBA"/>
    <w:rsid w:val="00A2535A"/>
    <w:rsid w:val="00A25917"/>
    <w:rsid w:val="00A26DC7"/>
    <w:rsid w:val="00A322C9"/>
    <w:rsid w:val="00A33C82"/>
    <w:rsid w:val="00A40B06"/>
    <w:rsid w:val="00A4123E"/>
    <w:rsid w:val="00A41C76"/>
    <w:rsid w:val="00A42B26"/>
    <w:rsid w:val="00A42E7A"/>
    <w:rsid w:val="00A43202"/>
    <w:rsid w:val="00A4400C"/>
    <w:rsid w:val="00A44FFC"/>
    <w:rsid w:val="00A4633E"/>
    <w:rsid w:val="00A47997"/>
    <w:rsid w:val="00A52898"/>
    <w:rsid w:val="00A52A71"/>
    <w:rsid w:val="00A54F31"/>
    <w:rsid w:val="00A55EE8"/>
    <w:rsid w:val="00A56083"/>
    <w:rsid w:val="00A56F10"/>
    <w:rsid w:val="00A618B2"/>
    <w:rsid w:val="00A629B1"/>
    <w:rsid w:val="00A6621C"/>
    <w:rsid w:val="00A675E2"/>
    <w:rsid w:val="00A7037C"/>
    <w:rsid w:val="00A72DE5"/>
    <w:rsid w:val="00A72F23"/>
    <w:rsid w:val="00A737BA"/>
    <w:rsid w:val="00A75A2F"/>
    <w:rsid w:val="00A76FAE"/>
    <w:rsid w:val="00A8116B"/>
    <w:rsid w:val="00A8405A"/>
    <w:rsid w:val="00A87CC6"/>
    <w:rsid w:val="00A87EC8"/>
    <w:rsid w:val="00A911CA"/>
    <w:rsid w:val="00A9125A"/>
    <w:rsid w:val="00A913D6"/>
    <w:rsid w:val="00A94147"/>
    <w:rsid w:val="00A94539"/>
    <w:rsid w:val="00A95C60"/>
    <w:rsid w:val="00AA0A25"/>
    <w:rsid w:val="00AA3405"/>
    <w:rsid w:val="00AA6C7B"/>
    <w:rsid w:val="00AB1B22"/>
    <w:rsid w:val="00AB262B"/>
    <w:rsid w:val="00AB3605"/>
    <w:rsid w:val="00AB3790"/>
    <w:rsid w:val="00AB3D6A"/>
    <w:rsid w:val="00AB5F48"/>
    <w:rsid w:val="00AB7B7B"/>
    <w:rsid w:val="00AC02A8"/>
    <w:rsid w:val="00AC0A95"/>
    <w:rsid w:val="00AC2BC7"/>
    <w:rsid w:val="00AC4108"/>
    <w:rsid w:val="00AC64C5"/>
    <w:rsid w:val="00AC6D71"/>
    <w:rsid w:val="00AD0058"/>
    <w:rsid w:val="00AD4873"/>
    <w:rsid w:val="00AE0ACB"/>
    <w:rsid w:val="00AE15C5"/>
    <w:rsid w:val="00AE3B68"/>
    <w:rsid w:val="00AE3D1F"/>
    <w:rsid w:val="00AF1590"/>
    <w:rsid w:val="00AF3763"/>
    <w:rsid w:val="00AF585D"/>
    <w:rsid w:val="00AF7073"/>
    <w:rsid w:val="00AF7144"/>
    <w:rsid w:val="00AF7290"/>
    <w:rsid w:val="00B00A27"/>
    <w:rsid w:val="00B00B01"/>
    <w:rsid w:val="00B01EFF"/>
    <w:rsid w:val="00B043D0"/>
    <w:rsid w:val="00B050F1"/>
    <w:rsid w:val="00B0674E"/>
    <w:rsid w:val="00B0684C"/>
    <w:rsid w:val="00B10AB7"/>
    <w:rsid w:val="00B13714"/>
    <w:rsid w:val="00B13DBD"/>
    <w:rsid w:val="00B155DB"/>
    <w:rsid w:val="00B16803"/>
    <w:rsid w:val="00B235C3"/>
    <w:rsid w:val="00B2606C"/>
    <w:rsid w:val="00B34B30"/>
    <w:rsid w:val="00B364F8"/>
    <w:rsid w:val="00B4258C"/>
    <w:rsid w:val="00B43111"/>
    <w:rsid w:val="00B44F2B"/>
    <w:rsid w:val="00B46ECC"/>
    <w:rsid w:val="00B47F3B"/>
    <w:rsid w:val="00B50B7A"/>
    <w:rsid w:val="00B50DE9"/>
    <w:rsid w:val="00B514FE"/>
    <w:rsid w:val="00B52B44"/>
    <w:rsid w:val="00B62708"/>
    <w:rsid w:val="00B65ED5"/>
    <w:rsid w:val="00B663DE"/>
    <w:rsid w:val="00B6680B"/>
    <w:rsid w:val="00B66FC9"/>
    <w:rsid w:val="00B82003"/>
    <w:rsid w:val="00B8399C"/>
    <w:rsid w:val="00B8401E"/>
    <w:rsid w:val="00B8484E"/>
    <w:rsid w:val="00B84DA3"/>
    <w:rsid w:val="00B85D4A"/>
    <w:rsid w:val="00B86A60"/>
    <w:rsid w:val="00B875D1"/>
    <w:rsid w:val="00B87B4E"/>
    <w:rsid w:val="00B91EF0"/>
    <w:rsid w:val="00B92694"/>
    <w:rsid w:val="00B93D2B"/>
    <w:rsid w:val="00B94297"/>
    <w:rsid w:val="00BA0197"/>
    <w:rsid w:val="00BA08E2"/>
    <w:rsid w:val="00BA09CC"/>
    <w:rsid w:val="00BA2421"/>
    <w:rsid w:val="00BB1F56"/>
    <w:rsid w:val="00BB5DE2"/>
    <w:rsid w:val="00BB7AFC"/>
    <w:rsid w:val="00BC296C"/>
    <w:rsid w:val="00BC3799"/>
    <w:rsid w:val="00BC4585"/>
    <w:rsid w:val="00BD11EE"/>
    <w:rsid w:val="00BD386E"/>
    <w:rsid w:val="00BD7917"/>
    <w:rsid w:val="00BE005E"/>
    <w:rsid w:val="00BE0568"/>
    <w:rsid w:val="00BE7383"/>
    <w:rsid w:val="00BF035B"/>
    <w:rsid w:val="00BF22F7"/>
    <w:rsid w:val="00BF44AC"/>
    <w:rsid w:val="00BF6C98"/>
    <w:rsid w:val="00BF7997"/>
    <w:rsid w:val="00C00020"/>
    <w:rsid w:val="00C013C2"/>
    <w:rsid w:val="00C04D51"/>
    <w:rsid w:val="00C05F83"/>
    <w:rsid w:val="00C0629D"/>
    <w:rsid w:val="00C071EF"/>
    <w:rsid w:val="00C0757A"/>
    <w:rsid w:val="00C07AE4"/>
    <w:rsid w:val="00C10FCE"/>
    <w:rsid w:val="00C1182C"/>
    <w:rsid w:val="00C126D9"/>
    <w:rsid w:val="00C14E5F"/>
    <w:rsid w:val="00C15093"/>
    <w:rsid w:val="00C15BCB"/>
    <w:rsid w:val="00C1696A"/>
    <w:rsid w:val="00C16D7E"/>
    <w:rsid w:val="00C17DC9"/>
    <w:rsid w:val="00C20C6E"/>
    <w:rsid w:val="00C2111B"/>
    <w:rsid w:val="00C241D1"/>
    <w:rsid w:val="00C24768"/>
    <w:rsid w:val="00C26C09"/>
    <w:rsid w:val="00C30632"/>
    <w:rsid w:val="00C30864"/>
    <w:rsid w:val="00C315C2"/>
    <w:rsid w:val="00C413BF"/>
    <w:rsid w:val="00C4440D"/>
    <w:rsid w:val="00C47C5F"/>
    <w:rsid w:val="00C50090"/>
    <w:rsid w:val="00C52F8A"/>
    <w:rsid w:val="00C53076"/>
    <w:rsid w:val="00C5307A"/>
    <w:rsid w:val="00C53C4B"/>
    <w:rsid w:val="00C53F8E"/>
    <w:rsid w:val="00C545EC"/>
    <w:rsid w:val="00C54AE5"/>
    <w:rsid w:val="00C5709C"/>
    <w:rsid w:val="00C57159"/>
    <w:rsid w:val="00C61912"/>
    <w:rsid w:val="00C66A46"/>
    <w:rsid w:val="00C66EC4"/>
    <w:rsid w:val="00C72714"/>
    <w:rsid w:val="00C7294A"/>
    <w:rsid w:val="00C735E2"/>
    <w:rsid w:val="00C765DB"/>
    <w:rsid w:val="00C778BA"/>
    <w:rsid w:val="00C80A7E"/>
    <w:rsid w:val="00C82CAF"/>
    <w:rsid w:val="00C82E50"/>
    <w:rsid w:val="00C90F72"/>
    <w:rsid w:val="00C9268B"/>
    <w:rsid w:val="00C956F1"/>
    <w:rsid w:val="00C97BE3"/>
    <w:rsid w:val="00CA0F25"/>
    <w:rsid w:val="00CA1A31"/>
    <w:rsid w:val="00CA2769"/>
    <w:rsid w:val="00CA3B3A"/>
    <w:rsid w:val="00CA4AB2"/>
    <w:rsid w:val="00CA4AB8"/>
    <w:rsid w:val="00CA5969"/>
    <w:rsid w:val="00CB01B9"/>
    <w:rsid w:val="00CB0579"/>
    <w:rsid w:val="00CB3758"/>
    <w:rsid w:val="00CB45B1"/>
    <w:rsid w:val="00CB47AB"/>
    <w:rsid w:val="00CB4DB1"/>
    <w:rsid w:val="00CB6FBF"/>
    <w:rsid w:val="00CB79D7"/>
    <w:rsid w:val="00CC284F"/>
    <w:rsid w:val="00CC490E"/>
    <w:rsid w:val="00CC760A"/>
    <w:rsid w:val="00CD1D0C"/>
    <w:rsid w:val="00CD3D25"/>
    <w:rsid w:val="00CD3E8D"/>
    <w:rsid w:val="00CD545C"/>
    <w:rsid w:val="00CE39D0"/>
    <w:rsid w:val="00CE4A44"/>
    <w:rsid w:val="00CE72E7"/>
    <w:rsid w:val="00CF09C9"/>
    <w:rsid w:val="00CF18D4"/>
    <w:rsid w:val="00CF2BBC"/>
    <w:rsid w:val="00CF30FC"/>
    <w:rsid w:val="00D003D8"/>
    <w:rsid w:val="00D0357C"/>
    <w:rsid w:val="00D03F41"/>
    <w:rsid w:val="00D04B00"/>
    <w:rsid w:val="00D10D1D"/>
    <w:rsid w:val="00D11390"/>
    <w:rsid w:val="00D12612"/>
    <w:rsid w:val="00D12684"/>
    <w:rsid w:val="00D12B6C"/>
    <w:rsid w:val="00D14915"/>
    <w:rsid w:val="00D20289"/>
    <w:rsid w:val="00D20F2E"/>
    <w:rsid w:val="00D23B7F"/>
    <w:rsid w:val="00D263A9"/>
    <w:rsid w:val="00D26403"/>
    <w:rsid w:val="00D2675E"/>
    <w:rsid w:val="00D3103E"/>
    <w:rsid w:val="00D31766"/>
    <w:rsid w:val="00D35209"/>
    <w:rsid w:val="00D4504F"/>
    <w:rsid w:val="00D45ECE"/>
    <w:rsid w:val="00D46551"/>
    <w:rsid w:val="00D50FB1"/>
    <w:rsid w:val="00D516A2"/>
    <w:rsid w:val="00D60D28"/>
    <w:rsid w:val="00D61B87"/>
    <w:rsid w:val="00D635D0"/>
    <w:rsid w:val="00D638FA"/>
    <w:rsid w:val="00D643E7"/>
    <w:rsid w:val="00D64FF0"/>
    <w:rsid w:val="00D665DA"/>
    <w:rsid w:val="00D67A4A"/>
    <w:rsid w:val="00D7001F"/>
    <w:rsid w:val="00D70061"/>
    <w:rsid w:val="00D752B8"/>
    <w:rsid w:val="00D756DE"/>
    <w:rsid w:val="00D75C16"/>
    <w:rsid w:val="00D802E2"/>
    <w:rsid w:val="00D80A20"/>
    <w:rsid w:val="00D824F3"/>
    <w:rsid w:val="00D83533"/>
    <w:rsid w:val="00D8436F"/>
    <w:rsid w:val="00D92099"/>
    <w:rsid w:val="00D94691"/>
    <w:rsid w:val="00D9543D"/>
    <w:rsid w:val="00D95602"/>
    <w:rsid w:val="00D96279"/>
    <w:rsid w:val="00D962D5"/>
    <w:rsid w:val="00D9672C"/>
    <w:rsid w:val="00D97F5D"/>
    <w:rsid w:val="00D97FEF"/>
    <w:rsid w:val="00DA11F3"/>
    <w:rsid w:val="00DA1382"/>
    <w:rsid w:val="00DA15FD"/>
    <w:rsid w:val="00DA1692"/>
    <w:rsid w:val="00DA2E9F"/>
    <w:rsid w:val="00DA3410"/>
    <w:rsid w:val="00DA5316"/>
    <w:rsid w:val="00DA695F"/>
    <w:rsid w:val="00DB57ED"/>
    <w:rsid w:val="00DB6D5C"/>
    <w:rsid w:val="00DC0925"/>
    <w:rsid w:val="00DC1B0F"/>
    <w:rsid w:val="00DC3DAD"/>
    <w:rsid w:val="00DD0A40"/>
    <w:rsid w:val="00DD3C2F"/>
    <w:rsid w:val="00DD3D60"/>
    <w:rsid w:val="00DD70CC"/>
    <w:rsid w:val="00DE1195"/>
    <w:rsid w:val="00DE20D8"/>
    <w:rsid w:val="00DE4137"/>
    <w:rsid w:val="00DF03AD"/>
    <w:rsid w:val="00DF07C5"/>
    <w:rsid w:val="00DF52C8"/>
    <w:rsid w:val="00DF6A19"/>
    <w:rsid w:val="00DF735C"/>
    <w:rsid w:val="00E01CAE"/>
    <w:rsid w:val="00E047CA"/>
    <w:rsid w:val="00E04C0E"/>
    <w:rsid w:val="00E06C98"/>
    <w:rsid w:val="00E07A4C"/>
    <w:rsid w:val="00E10CF5"/>
    <w:rsid w:val="00E13B01"/>
    <w:rsid w:val="00E15B41"/>
    <w:rsid w:val="00E16FF5"/>
    <w:rsid w:val="00E170BA"/>
    <w:rsid w:val="00E17279"/>
    <w:rsid w:val="00E222B0"/>
    <w:rsid w:val="00E23F37"/>
    <w:rsid w:val="00E27039"/>
    <w:rsid w:val="00E27210"/>
    <w:rsid w:val="00E27F1F"/>
    <w:rsid w:val="00E34851"/>
    <w:rsid w:val="00E34ED6"/>
    <w:rsid w:val="00E35D77"/>
    <w:rsid w:val="00E425AB"/>
    <w:rsid w:val="00E43438"/>
    <w:rsid w:val="00E460C8"/>
    <w:rsid w:val="00E46D24"/>
    <w:rsid w:val="00E47E3D"/>
    <w:rsid w:val="00E53245"/>
    <w:rsid w:val="00E553BF"/>
    <w:rsid w:val="00E55E87"/>
    <w:rsid w:val="00E56A5B"/>
    <w:rsid w:val="00E56D22"/>
    <w:rsid w:val="00E605C4"/>
    <w:rsid w:val="00E60BB9"/>
    <w:rsid w:val="00E625FA"/>
    <w:rsid w:val="00E644CC"/>
    <w:rsid w:val="00E6462F"/>
    <w:rsid w:val="00E72FBF"/>
    <w:rsid w:val="00E73655"/>
    <w:rsid w:val="00E76B4C"/>
    <w:rsid w:val="00E80643"/>
    <w:rsid w:val="00E82F37"/>
    <w:rsid w:val="00E90829"/>
    <w:rsid w:val="00E93003"/>
    <w:rsid w:val="00E94FBB"/>
    <w:rsid w:val="00E9701F"/>
    <w:rsid w:val="00E97396"/>
    <w:rsid w:val="00E97989"/>
    <w:rsid w:val="00E97F55"/>
    <w:rsid w:val="00EA0A46"/>
    <w:rsid w:val="00EA0FAD"/>
    <w:rsid w:val="00EA2F23"/>
    <w:rsid w:val="00EA51E6"/>
    <w:rsid w:val="00EA688C"/>
    <w:rsid w:val="00EA7B6D"/>
    <w:rsid w:val="00EB0309"/>
    <w:rsid w:val="00EB0FA3"/>
    <w:rsid w:val="00EB23C4"/>
    <w:rsid w:val="00EB320D"/>
    <w:rsid w:val="00EB684A"/>
    <w:rsid w:val="00EB78AC"/>
    <w:rsid w:val="00EC00A0"/>
    <w:rsid w:val="00EC0A2D"/>
    <w:rsid w:val="00EC2098"/>
    <w:rsid w:val="00EC3F75"/>
    <w:rsid w:val="00EC518B"/>
    <w:rsid w:val="00EC73EE"/>
    <w:rsid w:val="00ED0789"/>
    <w:rsid w:val="00ED1AFE"/>
    <w:rsid w:val="00ED3940"/>
    <w:rsid w:val="00ED4B38"/>
    <w:rsid w:val="00ED52DB"/>
    <w:rsid w:val="00ED5E3A"/>
    <w:rsid w:val="00ED64BD"/>
    <w:rsid w:val="00ED79B8"/>
    <w:rsid w:val="00EE134B"/>
    <w:rsid w:val="00EE1DC6"/>
    <w:rsid w:val="00EE2D64"/>
    <w:rsid w:val="00EE4789"/>
    <w:rsid w:val="00EE58FE"/>
    <w:rsid w:val="00EE79D6"/>
    <w:rsid w:val="00EF214B"/>
    <w:rsid w:val="00EF447F"/>
    <w:rsid w:val="00F0065B"/>
    <w:rsid w:val="00F03903"/>
    <w:rsid w:val="00F060B4"/>
    <w:rsid w:val="00F06857"/>
    <w:rsid w:val="00F12479"/>
    <w:rsid w:val="00F1260B"/>
    <w:rsid w:val="00F15A2C"/>
    <w:rsid w:val="00F17051"/>
    <w:rsid w:val="00F177DA"/>
    <w:rsid w:val="00F21491"/>
    <w:rsid w:val="00F21D6E"/>
    <w:rsid w:val="00F22A04"/>
    <w:rsid w:val="00F22FCC"/>
    <w:rsid w:val="00F23171"/>
    <w:rsid w:val="00F243E9"/>
    <w:rsid w:val="00F33352"/>
    <w:rsid w:val="00F341C8"/>
    <w:rsid w:val="00F37749"/>
    <w:rsid w:val="00F37761"/>
    <w:rsid w:val="00F40BFD"/>
    <w:rsid w:val="00F4105C"/>
    <w:rsid w:val="00F412FF"/>
    <w:rsid w:val="00F43FA2"/>
    <w:rsid w:val="00F43FB2"/>
    <w:rsid w:val="00F45EA8"/>
    <w:rsid w:val="00F463DA"/>
    <w:rsid w:val="00F477AD"/>
    <w:rsid w:val="00F50602"/>
    <w:rsid w:val="00F50E00"/>
    <w:rsid w:val="00F5255C"/>
    <w:rsid w:val="00F55938"/>
    <w:rsid w:val="00F56A52"/>
    <w:rsid w:val="00F573F6"/>
    <w:rsid w:val="00F57550"/>
    <w:rsid w:val="00F5782A"/>
    <w:rsid w:val="00F606D5"/>
    <w:rsid w:val="00F61250"/>
    <w:rsid w:val="00F61965"/>
    <w:rsid w:val="00F63E27"/>
    <w:rsid w:val="00F70D71"/>
    <w:rsid w:val="00F71628"/>
    <w:rsid w:val="00F71BED"/>
    <w:rsid w:val="00F71C9C"/>
    <w:rsid w:val="00F72C56"/>
    <w:rsid w:val="00F7337F"/>
    <w:rsid w:val="00F75E9B"/>
    <w:rsid w:val="00F77441"/>
    <w:rsid w:val="00F77D0A"/>
    <w:rsid w:val="00F81D07"/>
    <w:rsid w:val="00F82367"/>
    <w:rsid w:val="00F8706E"/>
    <w:rsid w:val="00F91C30"/>
    <w:rsid w:val="00F92669"/>
    <w:rsid w:val="00F94B7F"/>
    <w:rsid w:val="00FA2A59"/>
    <w:rsid w:val="00FA3683"/>
    <w:rsid w:val="00FA40EF"/>
    <w:rsid w:val="00FA45C1"/>
    <w:rsid w:val="00FA50FD"/>
    <w:rsid w:val="00FA58EE"/>
    <w:rsid w:val="00FA78A3"/>
    <w:rsid w:val="00FA7E00"/>
    <w:rsid w:val="00FB248D"/>
    <w:rsid w:val="00FB346E"/>
    <w:rsid w:val="00FB648A"/>
    <w:rsid w:val="00FC1144"/>
    <w:rsid w:val="00FD04B1"/>
    <w:rsid w:val="00FD0C5C"/>
    <w:rsid w:val="00FD2EE2"/>
    <w:rsid w:val="00FD3472"/>
    <w:rsid w:val="00FD60D0"/>
    <w:rsid w:val="00FE095F"/>
    <w:rsid w:val="00FE1DA8"/>
    <w:rsid w:val="00FE5A74"/>
    <w:rsid w:val="00FE6BA6"/>
    <w:rsid w:val="00FF02CA"/>
    <w:rsid w:val="00FF3F85"/>
    <w:rsid w:val="00FF4AE8"/>
    <w:rsid w:val="00FF5A34"/>
    <w:rsid w:val="00FF6977"/>
    <w:rsid w:val="00FF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F575"/>
  <w15:chartTrackingRefBased/>
  <w15:docId w15:val="{D54F153A-2A85-48D0-AADB-FA203856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FA2"/>
    <w:pPr>
      <w:spacing w:after="200" w:line="264" w:lineRule="auto"/>
    </w:pPr>
    <w:rPr>
      <w:rFonts w:ascii="Calibri" w:eastAsia="Times New Roman" w:hAnsi="Calibri" w:cs="Times New Roman"/>
    </w:rPr>
  </w:style>
  <w:style w:type="paragraph" w:styleId="Heading1">
    <w:name w:val="heading 1"/>
    <w:basedOn w:val="Normal"/>
    <w:next w:val="Normal"/>
    <w:link w:val="Heading1Char"/>
    <w:uiPriority w:val="9"/>
    <w:qFormat/>
    <w:rsid w:val="00252739"/>
    <w:pPr>
      <w:keepNext/>
      <w:keepLines/>
      <w:numPr>
        <w:numId w:val="4"/>
      </w:numPr>
      <w:spacing w:before="240" w:after="0" w:line="259" w:lineRule="auto"/>
      <w:outlineLvl w:val="0"/>
    </w:pPr>
    <w:rPr>
      <w:rFonts w:ascii="Segoe UI" w:eastAsiaTheme="majorEastAsia" w:hAnsi="Segoe UI"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252739"/>
    <w:pPr>
      <w:keepNext/>
      <w:keepLines/>
      <w:numPr>
        <w:ilvl w:val="1"/>
        <w:numId w:val="4"/>
      </w:numPr>
      <w:spacing w:before="40" w:after="0" w:line="259" w:lineRule="auto"/>
      <w:outlineLvl w:val="1"/>
    </w:pPr>
    <w:rPr>
      <w:rFonts w:ascii="Segoe UI" w:eastAsiaTheme="majorEastAsia" w:hAnsi="Segoe U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252739"/>
    <w:pPr>
      <w:keepNext/>
      <w:keepLines/>
      <w:numPr>
        <w:ilvl w:val="2"/>
        <w:numId w:val="4"/>
      </w:numPr>
      <w:spacing w:before="40" w:after="0" w:line="256" w:lineRule="auto"/>
      <w:outlineLvl w:val="2"/>
    </w:pPr>
    <w:rPr>
      <w:rFonts w:ascii="Segoe UI" w:eastAsiaTheme="majorEastAsia" w:hAnsi="Segoe UI" w:cstheme="majorBidi"/>
      <w:color w:val="1F3763" w:themeColor="accent1" w:themeShade="7F"/>
      <w:sz w:val="28"/>
      <w:szCs w:val="24"/>
    </w:rPr>
  </w:style>
  <w:style w:type="paragraph" w:styleId="Heading4">
    <w:name w:val="heading 4"/>
    <w:basedOn w:val="Normal"/>
    <w:next w:val="Normal"/>
    <w:link w:val="Heading4Char"/>
    <w:uiPriority w:val="9"/>
    <w:semiHidden/>
    <w:unhideWhenUsed/>
    <w:qFormat/>
    <w:rsid w:val="00252739"/>
    <w:pPr>
      <w:keepNext/>
      <w:keepLines/>
      <w:numPr>
        <w:ilvl w:val="3"/>
        <w:numId w:val="4"/>
      </w:numPr>
      <w:spacing w:before="40" w:after="0" w:line="259"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2739"/>
    <w:pPr>
      <w:keepNext/>
      <w:keepLines/>
      <w:numPr>
        <w:ilvl w:val="4"/>
        <w:numId w:val="4"/>
      </w:numPr>
      <w:spacing w:before="40" w:after="0" w:line="259"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2739"/>
    <w:pPr>
      <w:keepNext/>
      <w:keepLines/>
      <w:numPr>
        <w:ilvl w:val="5"/>
        <w:numId w:val="4"/>
      </w:numPr>
      <w:spacing w:before="40" w:after="0" w:line="259"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2739"/>
    <w:pPr>
      <w:keepNext/>
      <w:keepLines/>
      <w:numPr>
        <w:ilvl w:val="6"/>
        <w:numId w:val="4"/>
      </w:numPr>
      <w:spacing w:before="40" w:after="0" w:line="259"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2739"/>
    <w:pPr>
      <w:keepNext/>
      <w:keepLines/>
      <w:numPr>
        <w:ilvl w:val="7"/>
        <w:numId w:val="4"/>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2739"/>
    <w:pPr>
      <w:keepNext/>
      <w:keepLines/>
      <w:numPr>
        <w:ilvl w:val="8"/>
        <w:numId w:val="4"/>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43FA2"/>
    <w:pPr>
      <w:widowControl w:val="0"/>
      <w:autoSpaceDE w:val="0"/>
      <w:autoSpaceDN w:val="0"/>
      <w:spacing w:after="0" w:line="240" w:lineRule="auto"/>
      <w:ind w:left="107"/>
    </w:pPr>
    <w:rPr>
      <w:rFonts w:ascii="Times New Roman" w:hAnsi="Times New Roman"/>
    </w:rPr>
  </w:style>
  <w:style w:type="character" w:styleId="CommentReference">
    <w:name w:val="annotation reference"/>
    <w:uiPriority w:val="99"/>
    <w:semiHidden/>
    <w:unhideWhenUsed/>
    <w:rsid w:val="00F43FA2"/>
    <w:rPr>
      <w:sz w:val="16"/>
      <w:szCs w:val="16"/>
    </w:rPr>
  </w:style>
  <w:style w:type="paragraph" w:customStyle="1" w:styleId="00Normal">
    <w:name w:val="00 Normal"/>
    <w:basedOn w:val="Normal"/>
    <w:qFormat/>
    <w:rsid w:val="00F43FA2"/>
    <w:pPr>
      <w:spacing w:after="240" w:line="240" w:lineRule="auto"/>
      <w:jc w:val="both"/>
    </w:pPr>
    <w:rPr>
      <w:rFonts w:ascii="Times New Roman" w:eastAsia="Cambria" w:hAnsi="Times New Roman"/>
      <w:szCs w:val="24"/>
    </w:rPr>
  </w:style>
  <w:style w:type="paragraph" w:customStyle="1" w:styleId="00PlainText">
    <w:name w:val="00 Plain Text"/>
    <w:basedOn w:val="Normal"/>
    <w:qFormat/>
    <w:rsid w:val="00F43FA2"/>
    <w:pPr>
      <w:spacing w:after="0" w:line="240" w:lineRule="auto"/>
      <w:jc w:val="both"/>
    </w:pPr>
    <w:rPr>
      <w:rFonts w:ascii="Times New Roman" w:eastAsia="Cambria" w:hAnsi="Times New Roman"/>
      <w:szCs w:val="24"/>
    </w:rPr>
  </w:style>
  <w:style w:type="paragraph" w:customStyle="1" w:styleId="00TitleC">
    <w:name w:val="00 Title C"/>
    <w:basedOn w:val="Normal"/>
    <w:qFormat/>
    <w:rsid w:val="00F43FA2"/>
    <w:pPr>
      <w:keepNext/>
      <w:spacing w:after="240" w:line="240" w:lineRule="auto"/>
      <w:jc w:val="center"/>
    </w:pPr>
    <w:rPr>
      <w:rFonts w:ascii="Times New Roman" w:eastAsia="Cambria" w:hAnsi="Times New Roman"/>
      <w:b/>
      <w:szCs w:val="24"/>
    </w:rPr>
  </w:style>
  <w:style w:type="paragraph" w:styleId="CommentText">
    <w:name w:val="annotation text"/>
    <w:basedOn w:val="Normal"/>
    <w:link w:val="CommentTextChar"/>
    <w:uiPriority w:val="99"/>
    <w:unhideWhenUsed/>
    <w:rsid w:val="00C4440D"/>
    <w:pPr>
      <w:spacing w:line="240" w:lineRule="auto"/>
    </w:pPr>
    <w:rPr>
      <w:sz w:val="20"/>
      <w:szCs w:val="20"/>
    </w:rPr>
  </w:style>
  <w:style w:type="character" w:customStyle="1" w:styleId="CommentTextChar">
    <w:name w:val="Comment Text Char"/>
    <w:basedOn w:val="DefaultParagraphFont"/>
    <w:link w:val="CommentText"/>
    <w:uiPriority w:val="99"/>
    <w:rsid w:val="00C4440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4440D"/>
    <w:rPr>
      <w:b/>
      <w:bCs/>
    </w:rPr>
  </w:style>
  <w:style w:type="character" w:customStyle="1" w:styleId="CommentSubjectChar">
    <w:name w:val="Comment Subject Char"/>
    <w:basedOn w:val="CommentTextChar"/>
    <w:link w:val="CommentSubject"/>
    <w:uiPriority w:val="99"/>
    <w:semiHidden/>
    <w:rsid w:val="00C4440D"/>
    <w:rPr>
      <w:rFonts w:ascii="Calibri" w:eastAsia="Times New Roman" w:hAnsi="Calibri" w:cs="Times New Roman"/>
      <w:b/>
      <w:bCs/>
      <w:sz w:val="20"/>
      <w:szCs w:val="20"/>
    </w:rPr>
  </w:style>
  <w:style w:type="paragraph" w:styleId="Revision">
    <w:name w:val="Revision"/>
    <w:hidden/>
    <w:uiPriority w:val="99"/>
    <w:semiHidden/>
    <w:rsid w:val="001C4EDF"/>
    <w:pPr>
      <w:spacing w:after="0" w:line="240" w:lineRule="auto"/>
    </w:pPr>
    <w:rPr>
      <w:rFonts w:ascii="Calibri" w:eastAsia="Times New Roman" w:hAnsi="Calibri" w:cs="Times New Roman"/>
    </w:rPr>
  </w:style>
  <w:style w:type="paragraph" w:styleId="Footer">
    <w:name w:val="footer"/>
    <w:basedOn w:val="Normal"/>
    <w:link w:val="FooterChar"/>
    <w:uiPriority w:val="99"/>
    <w:unhideWhenUsed/>
    <w:rsid w:val="0009349E"/>
    <w:pPr>
      <w:tabs>
        <w:tab w:val="center" w:pos="4680"/>
        <w:tab w:val="right" w:pos="9360"/>
      </w:tabs>
      <w:spacing w:after="0" w:line="240" w:lineRule="auto"/>
    </w:pPr>
    <w:rPr>
      <w:rFonts w:ascii="Times New Roman" w:eastAsiaTheme="minorEastAsia" w:hAnsi="Times New Roman"/>
      <w:sz w:val="24"/>
      <w:szCs w:val="24"/>
    </w:rPr>
  </w:style>
  <w:style w:type="character" w:customStyle="1" w:styleId="FooterChar">
    <w:name w:val="Footer Char"/>
    <w:basedOn w:val="DefaultParagraphFont"/>
    <w:link w:val="Footer"/>
    <w:uiPriority w:val="99"/>
    <w:rsid w:val="0009349E"/>
    <w:rPr>
      <w:rFonts w:ascii="Times New Roman" w:eastAsiaTheme="minorEastAsia" w:hAnsi="Times New Roman" w:cs="Times New Roman"/>
      <w:sz w:val="24"/>
      <w:szCs w:val="24"/>
    </w:rPr>
  </w:style>
  <w:style w:type="paragraph" w:customStyle="1" w:styleId="JeffsPreferredBullets">
    <w:name w:val="Jeff's Preferred Bullets"/>
    <w:basedOn w:val="Normal"/>
    <w:link w:val="JeffsPreferredBulletsChar"/>
    <w:qFormat/>
    <w:rsid w:val="0009349E"/>
    <w:pPr>
      <w:numPr>
        <w:numId w:val="1"/>
      </w:numPr>
      <w:spacing w:after="0" w:line="276" w:lineRule="auto"/>
      <w:contextualSpacing/>
    </w:pPr>
    <w:rPr>
      <w:rFonts w:ascii="Arial" w:eastAsia="Arial" w:hAnsi="Arial" w:cs="Arial"/>
      <w:color w:val="000000"/>
    </w:rPr>
  </w:style>
  <w:style w:type="character" w:customStyle="1" w:styleId="JeffsPreferredBulletsChar">
    <w:name w:val="Jeff's Preferred Bullets Char"/>
    <w:link w:val="JeffsPreferredBullets"/>
    <w:rsid w:val="0009349E"/>
    <w:rPr>
      <w:rFonts w:ascii="Arial" w:eastAsia="Arial" w:hAnsi="Arial" w:cs="Arial"/>
      <w:color w:val="000000"/>
    </w:rPr>
  </w:style>
  <w:style w:type="paragraph" w:customStyle="1" w:styleId="ArticleL1">
    <w:name w:val="Article_L1"/>
    <w:basedOn w:val="Normal"/>
    <w:next w:val="BodyText"/>
    <w:rsid w:val="00EB320D"/>
    <w:pPr>
      <w:keepNext/>
      <w:numPr>
        <w:numId w:val="3"/>
      </w:numPr>
      <w:spacing w:after="240" w:line="240" w:lineRule="auto"/>
      <w:jc w:val="center"/>
      <w:outlineLvl w:val="0"/>
    </w:pPr>
    <w:rPr>
      <w:rFonts w:ascii="Times New Roman" w:hAnsi="Times New Roman"/>
      <w:b/>
      <w:caps/>
      <w:sz w:val="24"/>
      <w:szCs w:val="20"/>
    </w:rPr>
  </w:style>
  <w:style w:type="paragraph" w:customStyle="1" w:styleId="ArticleL2">
    <w:name w:val="Article_L2"/>
    <w:basedOn w:val="ArticleL1"/>
    <w:next w:val="BodyText"/>
    <w:rsid w:val="00EB320D"/>
    <w:pPr>
      <w:keepNext w:val="0"/>
      <w:numPr>
        <w:ilvl w:val="1"/>
      </w:numPr>
      <w:jc w:val="both"/>
      <w:outlineLvl w:val="1"/>
    </w:pPr>
    <w:rPr>
      <w:b w:val="0"/>
      <w:caps w:val="0"/>
    </w:rPr>
  </w:style>
  <w:style w:type="paragraph" w:customStyle="1" w:styleId="ArticleL3">
    <w:name w:val="Article_L3"/>
    <w:basedOn w:val="ArticleL2"/>
    <w:next w:val="BodyText"/>
    <w:link w:val="ArticleL3Char"/>
    <w:rsid w:val="00EB320D"/>
    <w:pPr>
      <w:numPr>
        <w:ilvl w:val="2"/>
      </w:numPr>
      <w:outlineLvl w:val="2"/>
    </w:pPr>
  </w:style>
  <w:style w:type="character" w:customStyle="1" w:styleId="ArticleL3Char">
    <w:name w:val="Article_L3 Char"/>
    <w:basedOn w:val="DefaultParagraphFont"/>
    <w:link w:val="ArticleL3"/>
    <w:rsid w:val="00EB320D"/>
    <w:rPr>
      <w:rFonts w:ascii="Times New Roman" w:eastAsia="Times New Roman" w:hAnsi="Times New Roman" w:cs="Times New Roman"/>
      <w:sz w:val="24"/>
      <w:szCs w:val="20"/>
    </w:rPr>
  </w:style>
  <w:style w:type="paragraph" w:customStyle="1" w:styleId="ArticleL4">
    <w:name w:val="Article_L4"/>
    <w:basedOn w:val="ArticleL3"/>
    <w:next w:val="BodyText"/>
    <w:rsid w:val="00EB320D"/>
    <w:pPr>
      <w:numPr>
        <w:ilvl w:val="3"/>
      </w:numPr>
      <w:tabs>
        <w:tab w:val="clear" w:pos="2880"/>
        <w:tab w:val="num" w:pos="360"/>
      </w:tabs>
      <w:ind w:left="2880" w:hanging="360"/>
      <w:outlineLvl w:val="3"/>
    </w:pPr>
  </w:style>
  <w:style w:type="paragraph" w:customStyle="1" w:styleId="ArticleL5">
    <w:name w:val="Article_L5"/>
    <w:basedOn w:val="ArticleL4"/>
    <w:next w:val="BodyText"/>
    <w:rsid w:val="00EB320D"/>
    <w:pPr>
      <w:numPr>
        <w:ilvl w:val="4"/>
      </w:numPr>
      <w:tabs>
        <w:tab w:val="clear" w:pos="3600"/>
        <w:tab w:val="num" w:pos="360"/>
      </w:tabs>
      <w:ind w:left="3600" w:hanging="360"/>
      <w:outlineLvl w:val="4"/>
    </w:pPr>
  </w:style>
  <w:style w:type="paragraph" w:customStyle="1" w:styleId="ArticleL6">
    <w:name w:val="Article_L6"/>
    <w:basedOn w:val="ArticleL5"/>
    <w:next w:val="BodyText"/>
    <w:rsid w:val="00EB320D"/>
    <w:pPr>
      <w:numPr>
        <w:ilvl w:val="5"/>
      </w:numPr>
      <w:tabs>
        <w:tab w:val="clear" w:pos="4320"/>
        <w:tab w:val="num" w:pos="360"/>
      </w:tabs>
      <w:ind w:left="4320" w:hanging="180"/>
      <w:jc w:val="left"/>
      <w:outlineLvl w:val="5"/>
    </w:pPr>
  </w:style>
  <w:style w:type="paragraph" w:customStyle="1" w:styleId="ArticleL7">
    <w:name w:val="Article_L7"/>
    <w:basedOn w:val="ArticleL6"/>
    <w:next w:val="BodyText"/>
    <w:rsid w:val="00EB320D"/>
    <w:pPr>
      <w:numPr>
        <w:ilvl w:val="6"/>
      </w:numPr>
      <w:tabs>
        <w:tab w:val="clear" w:pos="5040"/>
        <w:tab w:val="num" w:pos="360"/>
      </w:tabs>
      <w:ind w:left="5040" w:hanging="360"/>
      <w:outlineLvl w:val="6"/>
    </w:pPr>
  </w:style>
  <w:style w:type="paragraph" w:customStyle="1" w:styleId="ArticleL8">
    <w:name w:val="Article_L8"/>
    <w:basedOn w:val="ArticleL7"/>
    <w:next w:val="BodyText"/>
    <w:rsid w:val="00EB320D"/>
    <w:pPr>
      <w:numPr>
        <w:ilvl w:val="7"/>
      </w:numPr>
      <w:tabs>
        <w:tab w:val="clear" w:pos="5760"/>
        <w:tab w:val="num" w:pos="360"/>
      </w:tabs>
      <w:ind w:left="5760" w:hanging="360"/>
      <w:outlineLvl w:val="7"/>
    </w:pPr>
  </w:style>
  <w:style w:type="paragraph" w:customStyle="1" w:styleId="ArticleL9">
    <w:name w:val="Article_L9"/>
    <w:basedOn w:val="ArticleL8"/>
    <w:next w:val="BodyText"/>
    <w:rsid w:val="00EB320D"/>
    <w:pPr>
      <w:numPr>
        <w:ilvl w:val="8"/>
      </w:numPr>
      <w:tabs>
        <w:tab w:val="clear" w:pos="6480"/>
        <w:tab w:val="num" w:pos="360"/>
      </w:tabs>
      <w:ind w:left="6480" w:hanging="180"/>
      <w:outlineLvl w:val="8"/>
    </w:pPr>
  </w:style>
  <w:style w:type="paragraph" w:styleId="BodyText">
    <w:name w:val="Body Text"/>
    <w:basedOn w:val="Normal"/>
    <w:link w:val="BodyTextChar"/>
    <w:uiPriority w:val="99"/>
    <w:semiHidden/>
    <w:unhideWhenUsed/>
    <w:rsid w:val="00EB320D"/>
    <w:pPr>
      <w:spacing w:after="120"/>
    </w:pPr>
  </w:style>
  <w:style w:type="character" w:customStyle="1" w:styleId="BodyTextChar">
    <w:name w:val="Body Text Char"/>
    <w:basedOn w:val="DefaultParagraphFont"/>
    <w:link w:val="BodyText"/>
    <w:uiPriority w:val="99"/>
    <w:semiHidden/>
    <w:rsid w:val="00EB320D"/>
    <w:rPr>
      <w:rFonts w:ascii="Calibri" w:eastAsia="Times New Roman" w:hAnsi="Calibri" w:cs="Times New Roman"/>
    </w:rPr>
  </w:style>
  <w:style w:type="character" w:customStyle="1" w:styleId="Heading1Char">
    <w:name w:val="Heading 1 Char"/>
    <w:basedOn w:val="DefaultParagraphFont"/>
    <w:link w:val="Heading1"/>
    <w:uiPriority w:val="9"/>
    <w:rsid w:val="00252739"/>
    <w:rPr>
      <w:rFonts w:ascii="Segoe UI" w:eastAsiaTheme="majorEastAsia" w:hAnsi="Segoe UI" w:cstheme="majorBidi"/>
      <w:b/>
      <w:color w:val="2F5496" w:themeColor="accent1" w:themeShade="BF"/>
      <w:sz w:val="36"/>
      <w:szCs w:val="32"/>
    </w:rPr>
  </w:style>
  <w:style w:type="character" w:customStyle="1" w:styleId="Heading2Char">
    <w:name w:val="Heading 2 Char"/>
    <w:basedOn w:val="DefaultParagraphFont"/>
    <w:link w:val="Heading2"/>
    <w:uiPriority w:val="9"/>
    <w:rsid w:val="00252739"/>
    <w:rPr>
      <w:rFonts w:ascii="Segoe UI" w:eastAsiaTheme="majorEastAsia" w:hAnsi="Segoe UI" w:cstheme="majorBidi"/>
      <w:color w:val="2F5496" w:themeColor="accent1" w:themeShade="BF"/>
      <w:sz w:val="32"/>
      <w:szCs w:val="26"/>
    </w:rPr>
  </w:style>
  <w:style w:type="character" w:customStyle="1" w:styleId="Heading3Char">
    <w:name w:val="Heading 3 Char"/>
    <w:basedOn w:val="DefaultParagraphFont"/>
    <w:link w:val="Heading3"/>
    <w:uiPriority w:val="9"/>
    <w:rsid w:val="00252739"/>
    <w:rPr>
      <w:rFonts w:ascii="Segoe UI" w:eastAsiaTheme="majorEastAsia" w:hAnsi="Segoe UI" w:cstheme="majorBidi"/>
      <w:color w:val="1F3763" w:themeColor="accent1" w:themeShade="7F"/>
      <w:sz w:val="28"/>
      <w:szCs w:val="24"/>
    </w:rPr>
  </w:style>
  <w:style w:type="character" w:customStyle="1" w:styleId="Heading4Char">
    <w:name w:val="Heading 4 Char"/>
    <w:basedOn w:val="DefaultParagraphFont"/>
    <w:link w:val="Heading4"/>
    <w:uiPriority w:val="9"/>
    <w:semiHidden/>
    <w:rsid w:val="0025273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5273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5273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5273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527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52739"/>
    <w:rPr>
      <w:rFonts w:asciiTheme="majorHAnsi" w:eastAsiaTheme="majorEastAsia" w:hAnsiTheme="majorHAnsi" w:cstheme="majorBidi"/>
      <w:i/>
      <w:iCs/>
      <w:color w:val="272727" w:themeColor="text1" w:themeTint="D8"/>
      <w:sz w:val="21"/>
      <w:szCs w:val="21"/>
    </w:rPr>
  </w:style>
  <w:style w:type="paragraph" w:styleId="ListParagraph">
    <w:name w:val="List Paragraph"/>
    <w:aliases w:val="Resume Title,Colorful List - Accent 11,List Paragraph_Table bullets,Bullets - level 1,Bullets"/>
    <w:basedOn w:val="Normal"/>
    <w:link w:val="ListParagraphChar"/>
    <w:uiPriority w:val="34"/>
    <w:qFormat/>
    <w:rsid w:val="007B18F3"/>
    <w:pPr>
      <w:spacing w:after="0" w:line="240" w:lineRule="auto"/>
      <w:ind w:left="720"/>
    </w:pPr>
    <w:rPr>
      <w:rFonts w:eastAsiaTheme="minorHAnsi" w:cs="Calibri"/>
    </w:rPr>
  </w:style>
  <w:style w:type="paragraph" w:styleId="NormalWeb">
    <w:name w:val="Normal (Web)"/>
    <w:basedOn w:val="Normal"/>
    <w:uiPriority w:val="99"/>
    <w:unhideWhenUsed/>
    <w:rsid w:val="002F3455"/>
    <w:pPr>
      <w:spacing w:before="100" w:beforeAutospacing="1" w:after="100" w:afterAutospacing="1" w:line="240" w:lineRule="auto"/>
    </w:pPr>
    <w:rPr>
      <w:rFonts w:asciiTheme="minorHAnsi" w:hAnsiTheme="minorHAnsi"/>
      <w:szCs w:val="24"/>
    </w:rPr>
  </w:style>
  <w:style w:type="paragraph" w:styleId="Header">
    <w:name w:val="header"/>
    <w:basedOn w:val="Normal"/>
    <w:link w:val="HeaderChar"/>
    <w:uiPriority w:val="99"/>
    <w:unhideWhenUsed/>
    <w:rsid w:val="00A73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7BA"/>
    <w:rPr>
      <w:rFonts w:ascii="Calibri" w:eastAsia="Times New Roman" w:hAnsi="Calibri" w:cs="Times New Roman"/>
    </w:rPr>
  </w:style>
  <w:style w:type="table" w:styleId="TableGrid">
    <w:name w:val="Table Grid"/>
    <w:basedOn w:val="TableNormal"/>
    <w:uiPriority w:val="39"/>
    <w:rsid w:val="006F54A7"/>
    <w:pPr>
      <w:spacing w:after="0" w:line="240" w:lineRule="auto"/>
    </w:pPr>
    <w:rPr>
      <w:rFonts w:ascii="Quattrocento Sans" w:eastAsia="Quattrocento Sans" w:hAnsi="Quattrocento Sans" w:cs="Quattrocento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irmSignatureBold">
    <w:name w:val="Confirm Signature Bold"/>
    <w:basedOn w:val="Normal"/>
    <w:uiPriority w:val="99"/>
    <w:rsid w:val="006F54A7"/>
    <w:pPr>
      <w:spacing w:after="0" w:line="240" w:lineRule="auto"/>
    </w:pPr>
    <w:rPr>
      <w:rFonts w:ascii="Arial" w:hAnsi="Arial" w:cs="Arial"/>
      <w:b/>
      <w:bCs/>
      <w:sz w:val="20"/>
      <w:szCs w:val="20"/>
    </w:r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DA11F3"/>
    <w:rPr>
      <w:rFonts w:ascii="Calibri" w:hAnsi="Calibri" w:cs="Calibri"/>
    </w:rPr>
  </w:style>
  <w:style w:type="numbering" w:customStyle="1" w:styleId="CurrentList1">
    <w:name w:val="Current List1"/>
    <w:uiPriority w:val="99"/>
    <w:rsid w:val="00EE58FE"/>
    <w:pPr>
      <w:numPr>
        <w:numId w:val="15"/>
      </w:numPr>
    </w:pPr>
  </w:style>
  <w:style w:type="character" w:styleId="PageNumber">
    <w:name w:val="page number"/>
    <w:basedOn w:val="DefaultParagraphFont"/>
    <w:uiPriority w:val="99"/>
    <w:semiHidden/>
    <w:unhideWhenUsed/>
    <w:rsid w:val="00EE58FE"/>
  </w:style>
  <w:style w:type="character" w:customStyle="1" w:styleId="normaltextrun">
    <w:name w:val="normaltextrun"/>
    <w:basedOn w:val="DefaultParagraphFont"/>
    <w:rsid w:val="00D92099"/>
  </w:style>
  <w:style w:type="character" w:customStyle="1" w:styleId="eop">
    <w:name w:val="eop"/>
    <w:basedOn w:val="DefaultParagraphFont"/>
    <w:rsid w:val="00D92099"/>
  </w:style>
  <w:style w:type="paragraph" w:customStyle="1" w:styleId="RPSPPAiparagraph">
    <w:name w:val="RPS PPA (i) paragraph"/>
    <w:next w:val="Normal"/>
    <w:rsid w:val="00652628"/>
    <w:pPr>
      <w:widowControl w:val="0"/>
      <w:autoSpaceDE w:val="0"/>
      <w:autoSpaceDN w:val="0"/>
      <w:adjustRightInd w:val="0"/>
      <w:spacing w:after="240" w:line="240" w:lineRule="auto"/>
      <w:ind w:firstLine="2160"/>
    </w:pPr>
    <w:rPr>
      <w:rFonts w:ascii="Times New Roman" w:eastAsia="Times New Roman" w:hAnsi="Times New Roman" w:cs="Times New Roman"/>
    </w:rPr>
  </w:style>
  <w:style w:type="paragraph" w:customStyle="1" w:styleId="RPSPPAaparagraph">
    <w:name w:val="RPS PPA (a) paragraph"/>
    <w:basedOn w:val="Normal"/>
    <w:next w:val="Normal"/>
    <w:rsid w:val="00652628"/>
    <w:pPr>
      <w:spacing w:after="240" w:line="240" w:lineRule="auto"/>
      <w:ind w:firstLine="1440"/>
    </w:pPr>
    <w:rPr>
      <w:rFonts w:ascii="Times New Roman" w:hAnsi="Times New Roman"/>
      <w:szCs w:val="20"/>
    </w:rPr>
  </w:style>
  <w:style w:type="paragraph" w:styleId="BodyText2">
    <w:name w:val="Body Text 2"/>
    <w:basedOn w:val="Normal"/>
    <w:link w:val="BodyText2Char"/>
    <w:uiPriority w:val="99"/>
    <w:unhideWhenUsed/>
    <w:rsid w:val="00D35209"/>
    <w:pPr>
      <w:spacing w:after="120" w:line="480" w:lineRule="auto"/>
    </w:pPr>
    <w:rPr>
      <w:rFonts w:ascii="Times New Roman" w:eastAsiaTheme="minorEastAsia" w:hAnsi="Times New Roman"/>
      <w:sz w:val="24"/>
      <w:szCs w:val="24"/>
    </w:rPr>
  </w:style>
  <w:style w:type="character" w:customStyle="1" w:styleId="BodyText2Char">
    <w:name w:val="Body Text 2 Char"/>
    <w:basedOn w:val="DefaultParagraphFont"/>
    <w:link w:val="BodyText2"/>
    <w:uiPriority w:val="99"/>
    <w:rsid w:val="00D35209"/>
    <w:rPr>
      <w:rFonts w:ascii="Times New Roman" w:eastAsiaTheme="minorEastAsia" w:hAnsi="Times New Roman" w:cs="Times New Roman"/>
      <w:sz w:val="24"/>
      <w:szCs w:val="24"/>
    </w:rPr>
  </w:style>
  <w:style w:type="paragraph" w:customStyle="1" w:styleId="Level1">
    <w:name w:val="Level 1"/>
    <w:basedOn w:val="Normal"/>
    <w:next w:val="Level2"/>
    <w:rsid w:val="007701D8"/>
    <w:pPr>
      <w:keepNext/>
      <w:keepLines/>
      <w:numPr>
        <w:numId w:val="30"/>
      </w:numPr>
      <w:suppressAutoHyphens/>
      <w:spacing w:after="240" w:line="240" w:lineRule="auto"/>
      <w:jc w:val="center"/>
      <w:outlineLvl w:val="0"/>
    </w:pPr>
    <w:rPr>
      <w:rFonts w:ascii="Times New Roman" w:eastAsia="SimSun" w:hAnsi="Times New Roman"/>
      <w:b/>
      <w:sz w:val="24"/>
      <w:szCs w:val="20"/>
    </w:rPr>
  </w:style>
  <w:style w:type="paragraph" w:customStyle="1" w:styleId="Level2">
    <w:name w:val="Level 2"/>
    <w:basedOn w:val="Normal"/>
    <w:rsid w:val="007701D8"/>
    <w:pPr>
      <w:numPr>
        <w:ilvl w:val="1"/>
        <w:numId w:val="30"/>
      </w:numPr>
      <w:suppressAutoHyphens/>
      <w:spacing w:after="240" w:line="240" w:lineRule="auto"/>
      <w:jc w:val="both"/>
      <w:outlineLvl w:val="1"/>
    </w:pPr>
    <w:rPr>
      <w:rFonts w:ascii="Times New Roman" w:eastAsia="SimSun" w:hAnsi="Times New Roman"/>
      <w:b/>
      <w:sz w:val="24"/>
      <w:szCs w:val="20"/>
      <w:u w:val="single"/>
    </w:rPr>
  </w:style>
  <w:style w:type="paragraph" w:customStyle="1" w:styleId="Level3">
    <w:name w:val="Level 3"/>
    <w:basedOn w:val="Normal"/>
    <w:rsid w:val="007701D8"/>
    <w:pPr>
      <w:numPr>
        <w:ilvl w:val="2"/>
        <w:numId w:val="30"/>
      </w:numPr>
      <w:suppressAutoHyphens/>
      <w:spacing w:after="240" w:line="240" w:lineRule="auto"/>
      <w:jc w:val="both"/>
      <w:outlineLvl w:val="2"/>
    </w:pPr>
    <w:rPr>
      <w:rFonts w:ascii="Times New Roman" w:eastAsia="SimSun" w:hAnsi="Times New Roman"/>
      <w:sz w:val="24"/>
      <w:szCs w:val="20"/>
    </w:rPr>
  </w:style>
  <w:style w:type="paragraph" w:customStyle="1" w:styleId="Level4">
    <w:name w:val="Level 4"/>
    <w:basedOn w:val="Normal"/>
    <w:rsid w:val="007701D8"/>
    <w:pPr>
      <w:numPr>
        <w:ilvl w:val="3"/>
        <w:numId w:val="30"/>
      </w:numPr>
      <w:suppressAutoHyphens/>
      <w:spacing w:after="240" w:line="240" w:lineRule="auto"/>
      <w:jc w:val="both"/>
      <w:outlineLvl w:val="3"/>
    </w:pPr>
    <w:rPr>
      <w:rFonts w:ascii="Times New Roman" w:eastAsia="SimSun" w:hAnsi="Times New Roman"/>
      <w:sz w:val="24"/>
      <w:szCs w:val="20"/>
    </w:rPr>
  </w:style>
  <w:style w:type="paragraph" w:customStyle="1" w:styleId="Level5">
    <w:name w:val="Level 5"/>
    <w:basedOn w:val="Normal"/>
    <w:rsid w:val="007701D8"/>
    <w:pPr>
      <w:numPr>
        <w:ilvl w:val="4"/>
        <w:numId w:val="30"/>
      </w:numPr>
      <w:suppressAutoHyphens/>
      <w:spacing w:after="240" w:line="240" w:lineRule="auto"/>
      <w:jc w:val="both"/>
      <w:outlineLvl w:val="4"/>
    </w:pPr>
    <w:rPr>
      <w:rFonts w:ascii="Times New Roman" w:eastAsia="SimSun" w:hAnsi="Times New Roman"/>
      <w:sz w:val="24"/>
      <w:szCs w:val="20"/>
    </w:rPr>
  </w:style>
  <w:style w:type="paragraph" w:customStyle="1" w:styleId="Level6">
    <w:name w:val="Level 6"/>
    <w:basedOn w:val="Normal"/>
    <w:rsid w:val="007701D8"/>
    <w:pPr>
      <w:numPr>
        <w:ilvl w:val="5"/>
        <w:numId w:val="30"/>
      </w:numPr>
      <w:suppressAutoHyphens/>
      <w:spacing w:after="240" w:line="240" w:lineRule="auto"/>
      <w:jc w:val="both"/>
      <w:outlineLvl w:val="5"/>
    </w:pPr>
    <w:rPr>
      <w:rFonts w:ascii="Times New Roman" w:eastAsia="SimSun" w:hAnsi="Times New Roman"/>
      <w:sz w:val="24"/>
      <w:szCs w:val="20"/>
    </w:rPr>
  </w:style>
  <w:style w:type="paragraph" w:customStyle="1" w:styleId="Level7">
    <w:name w:val="Level 7"/>
    <w:basedOn w:val="Normal"/>
    <w:rsid w:val="007701D8"/>
    <w:pPr>
      <w:numPr>
        <w:ilvl w:val="6"/>
        <w:numId w:val="30"/>
      </w:numPr>
      <w:suppressAutoHyphens/>
      <w:spacing w:after="240" w:line="240" w:lineRule="auto"/>
      <w:jc w:val="both"/>
      <w:outlineLvl w:val="6"/>
    </w:pPr>
    <w:rPr>
      <w:rFonts w:ascii="Times New Roman" w:eastAsia="SimSun" w:hAnsi="Times New Roman"/>
      <w:sz w:val="24"/>
      <w:szCs w:val="20"/>
    </w:rPr>
  </w:style>
  <w:style w:type="paragraph" w:customStyle="1" w:styleId="Level8">
    <w:name w:val="Level 8"/>
    <w:basedOn w:val="Normal"/>
    <w:rsid w:val="007701D8"/>
    <w:pPr>
      <w:numPr>
        <w:ilvl w:val="7"/>
        <w:numId w:val="30"/>
      </w:numPr>
      <w:suppressAutoHyphens/>
      <w:spacing w:after="240" w:line="240" w:lineRule="auto"/>
      <w:jc w:val="both"/>
      <w:outlineLvl w:val="7"/>
    </w:pPr>
    <w:rPr>
      <w:rFonts w:ascii="Times New Roman" w:eastAsia="SimSun" w:hAnsi="Times New Roman"/>
      <w:sz w:val="24"/>
      <w:szCs w:val="20"/>
    </w:rPr>
  </w:style>
  <w:style w:type="paragraph" w:customStyle="1" w:styleId="Level9">
    <w:name w:val="Level 9"/>
    <w:basedOn w:val="Normal"/>
    <w:rsid w:val="007701D8"/>
    <w:pPr>
      <w:numPr>
        <w:ilvl w:val="8"/>
        <w:numId w:val="30"/>
      </w:numPr>
      <w:suppressAutoHyphens/>
      <w:spacing w:after="240" w:line="240" w:lineRule="auto"/>
      <w:jc w:val="both"/>
      <w:outlineLvl w:val="8"/>
    </w:pPr>
    <w:rPr>
      <w:rFonts w:ascii="Times New Roman" w:eastAsia="SimSun" w:hAnsi="Times New Roman"/>
      <w:sz w:val="24"/>
      <w:szCs w:val="20"/>
    </w:rPr>
  </w:style>
  <w:style w:type="character" w:styleId="Mention">
    <w:name w:val="Mention"/>
    <w:basedOn w:val="DefaultParagraphFont"/>
    <w:uiPriority w:val="99"/>
    <w:unhideWhenUsed/>
    <w:rsid w:val="0097140E"/>
    <w:rPr>
      <w:color w:val="2B579A"/>
      <w:shd w:val="clear" w:color="auto" w:fill="E1DFDD"/>
    </w:rPr>
  </w:style>
  <w:style w:type="paragraph" w:styleId="FootnoteText">
    <w:name w:val="footnote text"/>
    <w:basedOn w:val="Normal"/>
    <w:link w:val="FootnoteTextChar"/>
    <w:uiPriority w:val="99"/>
    <w:semiHidden/>
    <w:unhideWhenUsed/>
    <w:rsid w:val="00B514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4FE"/>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B514FE"/>
    <w:rPr>
      <w:vertAlign w:val="superscript"/>
    </w:rPr>
  </w:style>
  <w:style w:type="numbering" w:customStyle="1" w:styleId="CurrentList2">
    <w:name w:val="Current List2"/>
    <w:uiPriority w:val="99"/>
    <w:rsid w:val="00F61965"/>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13044">
      <w:bodyDiv w:val="1"/>
      <w:marLeft w:val="0"/>
      <w:marRight w:val="0"/>
      <w:marTop w:val="0"/>
      <w:marBottom w:val="0"/>
      <w:divBdr>
        <w:top w:val="none" w:sz="0" w:space="0" w:color="auto"/>
        <w:left w:val="none" w:sz="0" w:space="0" w:color="auto"/>
        <w:bottom w:val="none" w:sz="0" w:space="0" w:color="auto"/>
        <w:right w:val="none" w:sz="0" w:space="0" w:color="auto"/>
      </w:divBdr>
    </w:div>
    <w:div w:id="448821795">
      <w:bodyDiv w:val="1"/>
      <w:marLeft w:val="0"/>
      <w:marRight w:val="0"/>
      <w:marTop w:val="0"/>
      <w:marBottom w:val="0"/>
      <w:divBdr>
        <w:top w:val="none" w:sz="0" w:space="0" w:color="auto"/>
        <w:left w:val="none" w:sz="0" w:space="0" w:color="auto"/>
        <w:bottom w:val="none" w:sz="0" w:space="0" w:color="auto"/>
        <w:right w:val="none" w:sz="0" w:space="0" w:color="auto"/>
      </w:divBdr>
    </w:div>
    <w:div w:id="501967650">
      <w:bodyDiv w:val="1"/>
      <w:marLeft w:val="0"/>
      <w:marRight w:val="0"/>
      <w:marTop w:val="0"/>
      <w:marBottom w:val="0"/>
      <w:divBdr>
        <w:top w:val="none" w:sz="0" w:space="0" w:color="auto"/>
        <w:left w:val="none" w:sz="0" w:space="0" w:color="auto"/>
        <w:bottom w:val="none" w:sz="0" w:space="0" w:color="auto"/>
        <w:right w:val="none" w:sz="0" w:space="0" w:color="auto"/>
      </w:divBdr>
    </w:div>
    <w:div w:id="735661102">
      <w:bodyDiv w:val="1"/>
      <w:marLeft w:val="0"/>
      <w:marRight w:val="0"/>
      <w:marTop w:val="0"/>
      <w:marBottom w:val="0"/>
      <w:divBdr>
        <w:top w:val="none" w:sz="0" w:space="0" w:color="auto"/>
        <w:left w:val="none" w:sz="0" w:space="0" w:color="auto"/>
        <w:bottom w:val="none" w:sz="0" w:space="0" w:color="auto"/>
        <w:right w:val="none" w:sz="0" w:space="0" w:color="auto"/>
      </w:divBdr>
    </w:div>
    <w:div w:id="977417450">
      <w:bodyDiv w:val="1"/>
      <w:marLeft w:val="0"/>
      <w:marRight w:val="0"/>
      <w:marTop w:val="0"/>
      <w:marBottom w:val="0"/>
      <w:divBdr>
        <w:top w:val="none" w:sz="0" w:space="0" w:color="auto"/>
        <w:left w:val="none" w:sz="0" w:space="0" w:color="auto"/>
        <w:bottom w:val="none" w:sz="0" w:space="0" w:color="auto"/>
        <w:right w:val="none" w:sz="0" w:space="0" w:color="auto"/>
      </w:divBdr>
    </w:div>
    <w:div w:id="1022166186">
      <w:bodyDiv w:val="1"/>
      <w:marLeft w:val="0"/>
      <w:marRight w:val="0"/>
      <w:marTop w:val="0"/>
      <w:marBottom w:val="0"/>
      <w:divBdr>
        <w:top w:val="none" w:sz="0" w:space="0" w:color="auto"/>
        <w:left w:val="none" w:sz="0" w:space="0" w:color="auto"/>
        <w:bottom w:val="none" w:sz="0" w:space="0" w:color="auto"/>
        <w:right w:val="none" w:sz="0" w:space="0" w:color="auto"/>
      </w:divBdr>
    </w:div>
    <w:div w:id="1305694559">
      <w:bodyDiv w:val="1"/>
      <w:marLeft w:val="0"/>
      <w:marRight w:val="0"/>
      <w:marTop w:val="0"/>
      <w:marBottom w:val="0"/>
      <w:divBdr>
        <w:top w:val="none" w:sz="0" w:space="0" w:color="auto"/>
        <w:left w:val="none" w:sz="0" w:space="0" w:color="auto"/>
        <w:bottom w:val="none" w:sz="0" w:space="0" w:color="auto"/>
        <w:right w:val="none" w:sz="0" w:space="0" w:color="auto"/>
      </w:divBdr>
    </w:div>
    <w:div w:id="1459058524">
      <w:bodyDiv w:val="1"/>
      <w:marLeft w:val="0"/>
      <w:marRight w:val="0"/>
      <w:marTop w:val="0"/>
      <w:marBottom w:val="0"/>
      <w:divBdr>
        <w:top w:val="none" w:sz="0" w:space="0" w:color="auto"/>
        <w:left w:val="none" w:sz="0" w:space="0" w:color="auto"/>
        <w:bottom w:val="none" w:sz="0" w:space="0" w:color="auto"/>
        <w:right w:val="none" w:sz="0" w:space="0" w:color="auto"/>
      </w:divBdr>
    </w:div>
    <w:div w:id="1793283846">
      <w:bodyDiv w:val="1"/>
      <w:marLeft w:val="0"/>
      <w:marRight w:val="0"/>
      <w:marTop w:val="0"/>
      <w:marBottom w:val="0"/>
      <w:divBdr>
        <w:top w:val="none" w:sz="0" w:space="0" w:color="auto"/>
        <w:left w:val="none" w:sz="0" w:space="0" w:color="auto"/>
        <w:bottom w:val="none" w:sz="0" w:space="0" w:color="auto"/>
        <w:right w:val="none" w:sz="0" w:space="0" w:color="auto"/>
      </w:divBdr>
    </w:div>
    <w:div w:id="2057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80CCE48B7E3C4DBF1F2047B67F2630" ma:contentTypeVersion="25" ma:contentTypeDescription="Create a new document." ma:contentTypeScope="" ma:versionID="84c85e1870bf636ee8d7bf406b2cdf9d">
  <xsd:schema xmlns:xsd="http://www.w3.org/2001/XMLSchema" xmlns:xs="http://www.w3.org/2001/XMLSchema" xmlns:p="http://schemas.microsoft.com/office/2006/metadata/properties" xmlns:ns1="http://schemas.microsoft.com/sharepoint/v3" xmlns:ns2="19cc4ab9-4cac-47ea-8483-ed1ef314fb9f" xmlns:ns3="86e4f0ce-9716-43f7-9800-407bb1d1bb06" targetNamespace="http://schemas.microsoft.com/office/2006/metadata/properties" ma:root="true" ma:fieldsID="3709cd3d2696d15b6a8d1362db3c692a" ns1:_="" ns2:_="" ns3:_="">
    <xsd:import namespace="http://schemas.microsoft.com/sharepoint/v3"/>
    <xsd:import namespace="19cc4ab9-4cac-47ea-8483-ed1ef314fb9f"/>
    <xsd:import namespace="86e4f0ce-9716-43f7-9800-407bb1d1b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3:TaxCatchAll" minOccurs="0"/>
                <xsd:element ref="ns2:lcf76f155ced4ddcb4097134ff3c332f" minOccurs="0"/>
                <xsd:element ref="ns2:ItemID" minOccurs="0"/>
                <xsd:element ref="ns2:Hyperlink"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c4ab9-4cac-47ea-8483-ed1ef314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427dc5-0530-4725-acff-dd2be4a76040" ma:termSetId="09814cd3-568e-fe90-9814-8d621ff8fb84" ma:anchorId="fba54fb3-c3e1-fe81-a776-ca4b69148c4d" ma:open="true" ma:isKeyword="false">
      <xsd:complexType>
        <xsd:sequence>
          <xsd:element ref="pc:Terms" minOccurs="0" maxOccurs="1"/>
        </xsd:sequence>
      </xsd:complexType>
    </xsd:element>
    <xsd:element name="ItemID" ma:index="26" nillable="true" ma:displayName="ItemID" ma:format="Dropdown" ma:internalName="ItemID" ma:percentage="FALSE">
      <xsd:simpleType>
        <xsd:restriction base="dms:Number"/>
      </xsd:simpleType>
    </xsd:element>
    <xsd:element name="Hyperlink" ma:index="2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e4f0ce-9716-43f7-9800-407bb1d1bb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cb81e3-504c-4f74-b343-0b969e5fb63f}" ma:internalName="TaxCatchAll" ma:showField="CatchAllData" ma:web="86e4f0ce-9716-43f7-9800-407bb1d1b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temID xmlns="19cc4ab9-4cac-47ea-8483-ed1ef314fb9f" xsi:nil="true"/>
    <lcf76f155ced4ddcb4097134ff3c332f xmlns="19cc4ab9-4cac-47ea-8483-ed1ef314fb9f">
      <Terms xmlns="http://schemas.microsoft.com/office/infopath/2007/PartnerControls"/>
    </lcf76f155ced4ddcb4097134ff3c332f>
    <TaxCatchAll xmlns="86e4f0ce-9716-43f7-9800-407bb1d1bb06" xsi:nil="true"/>
    <Hyperlink xmlns="19cc4ab9-4cac-47ea-8483-ed1ef314fb9f">
      <Url xsi:nil="true"/>
      <Description xsi:nil="true"/>
    </Hyperlink>
  </documentManagement>
</p:properties>
</file>

<file path=customXml/itemProps1.xml><?xml version="1.0" encoding="utf-8"?>
<ds:datastoreItem xmlns:ds="http://schemas.openxmlformats.org/officeDocument/2006/customXml" ds:itemID="{067849F4-023D-4368-8A92-1A8AC574A8F3}">
  <ds:schemaRefs>
    <ds:schemaRef ds:uri="http://schemas.openxmlformats.org/officeDocument/2006/bibliography"/>
  </ds:schemaRefs>
</ds:datastoreItem>
</file>

<file path=customXml/itemProps2.xml><?xml version="1.0" encoding="utf-8"?>
<ds:datastoreItem xmlns:ds="http://schemas.openxmlformats.org/officeDocument/2006/customXml" ds:itemID="{19580687-1F31-49E1-94D6-83C5BA180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cc4ab9-4cac-47ea-8483-ed1ef314fb9f"/>
    <ds:schemaRef ds:uri="86e4f0ce-9716-43f7-9800-407bb1d1b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53C92-7B36-4BC5-B0D0-24393ABCA7AB}">
  <ds:schemaRefs>
    <ds:schemaRef ds:uri="http://schemas.microsoft.com/sharepoint/v3/contenttype/forms"/>
  </ds:schemaRefs>
</ds:datastoreItem>
</file>

<file path=customXml/itemProps4.xml><?xml version="1.0" encoding="utf-8"?>
<ds:datastoreItem xmlns:ds="http://schemas.openxmlformats.org/officeDocument/2006/customXml" ds:itemID="{16559B67-DB52-40E4-87B7-7E19EEDF2180}">
  <ds:schemaRefs>
    <ds:schemaRef ds:uri="http://schemas.microsoft.com/office/2006/metadata/properties"/>
    <ds:schemaRef ds:uri="http://schemas.microsoft.com/office/infopath/2007/PartnerControls"/>
    <ds:schemaRef ds:uri="http://schemas.microsoft.com/sharepoint/v3"/>
    <ds:schemaRef ds:uri="19cc4ab9-4cac-47ea-8483-ed1ef314fb9f"/>
    <ds:schemaRef ds:uri="86e4f0ce-9716-43f7-9800-407bb1d1bb06"/>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3287</Words>
  <Characters>18737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Danphy Wong</dc:creator>
  <cp:keywords/>
  <dc:description/>
  <cp:lastModifiedBy>Andrea Torres</cp:lastModifiedBy>
  <cp:revision>29</cp:revision>
  <cp:lastPrinted>2021-09-09T19:45:00Z</cp:lastPrinted>
  <dcterms:created xsi:type="dcterms:W3CDTF">2025-04-15T19:11:00Z</dcterms:created>
  <dcterms:modified xsi:type="dcterms:W3CDTF">2025-04-21T04:43:00Z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0x010100D480CCE48B7E3C4DBF1F2047B67F2630</vt:lpwstr>
  </property>
  <property fmtid="{D5CDD505-2E9C-101B-9397-08002B2CF9AE}" pid="3" name="MediaServiceImageTags">
    <vt:lpwstr/>
  </property>
</Properties>
</file>